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Times New Roman" w:eastAsia="方正小标宋简体" w:cs="Times New Roman"/>
          <w:bCs/>
          <w:kern w:val="0"/>
          <w:sz w:val="44"/>
          <w:szCs w:val="44"/>
        </w:rPr>
      </w:pPr>
      <w:r>
        <w:rPr>
          <w:rFonts w:hint="eastAsia" w:ascii="方正小标宋简体" w:hAnsi="Times New Roman" w:eastAsia="方正小标宋简体" w:cs="Times New Roman"/>
          <w:bCs/>
          <w:kern w:val="0"/>
          <w:sz w:val="44"/>
          <w:szCs w:val="44"/>
        </w:rPr>
        <w:t>2020年湖南省退役军人事务厅部门预算</w:t>
      </w:r>
    </w:p>
    <w:p>
      <w:pPr>
        <w:widowControl/>
        <w:spacing w:line="560" w:lineRule="exact"/>
        <w:jc w:val="center"/>
        <w:rPr>
          <w:rFonts w:hint="eastAsia" w:ascii="方正小标宋简体" w:hAnsi="Times New Roman" w:eastAsia="方正小标宋简体" w:cs="Times New Roman"/>
          <w:bCs/>
          <w:kern w:val="0"/>
          <w:sz w:val="44"/>
          <w:szCs w:val="44"/>
        </w:rPr>
      </w:pPr>
    </w:p>
    <w:p>
      <w:pPr>
        <w:widowControl/>
        <w:spacing w:line="560" w:lineRule="exact"/>
        <w:jc w:val="center"/>
        <w:rPr>
          <w:rFonts w:hint="eastAsia" w:ascii="方正小标宋简体" w:hAnsi="Times New Roman" w:eastAsia="方正小标宋简体" w:cs="Times New Roman"/>
          <w:bCs/>
          <w:kern w:val="0"/>
          <w:sz w:val="44"/>
          <w:szCs w:val="44"/>
          <w:lang w:val="en-US" w:eastAsia="zh-CN"/>
        </w:rPr>
      </w:pPr>
      <w:r>
        <w:rPr>
          <w:rFonts w:hint="eastAsia" w:ascii="方正小标宋简体" w:hAnsi="Times New Roman" w:eastAsia="方正小标宋简体" w:cs="Times New Roman"/>
          <w:bCs/>
          <w:kern w:val="0"/>
          <w:sz w:val="44"/>
          <w:szCs w:val="44"/>
          <w:lang w:val="en-US" w:eastAsia="zh-CN"/>
        </w:rPr>
        <w:t>目录</w:t>
      </w:r>
    </w:p>
    <w:p>
      <w:pPr>
        <w:widowControl/>
        <w:spacing w:line="560" w:lineRule="exact"/>
        <w:jc w:val="left"/>
        <w:rPr>
          <w:rFonts w:hint="eastAsia" w:ascii="方正小标宋简体" w:hAnsi="Times New Roman" w:eastAsia="方正小标宋简体" w:cs="Times New Roman"/>
          <w:bCs/>
          <w:kern w:val="0"/>
          <w:sz w:val="44"/>
          <w:szCs w:val="44"/>
          <w:lang w:val="en-US" w:eastAsia="zh-CN"/>
        </w:rPr>
      </w:pPr>
    </w:p>
    <w:p>
      <w:pPr>
        <w:widowControl/>
        <w:numPr>
          <w:ilvl w:val="0"/>
          <w:numId w:val="1"/>
        </w:numPr>
        <w:spacing w:line="560" w:lineRule="exact"/>
        <w:ind w:left="655" w:leftChars="0" w:firstLine="0" w:firstLineChars="0"/>
        <w:jc w:val="both"/>
        <w:rPr>
          <w:rFonts w:hint="eastAsia" w:ascii="方正小标宋简体" w:hAnsi="Times New Roman" w:eastAsia="方正小标宋简体" w:cs="Times New Roman"/>
          <w:bCs/>
          <w:kern w:val="0"/>
          <w:sz w:val="32"/>
          <w:szCs w:val="32"/>
        </w:rPr>
      </w:pPr>
      <w:r>
        <w:rPr>
          <w:rFonts w:hint="eastAsia" w:ascii="方正小标宋简体" w:hAnsi="Times New Roman" w:eastAsia="方正小标宋简体" w:cs="Times New Roman"/>
          <w:bCs/>
          <w:kern w:val="0"/>
          <w:sz w:val="32"/>
          <w:szCs w:val="32"/>
        </w:rPr>
        <w:t>2020年部门预算说明</w:t>
      </w:r>
    </w:p>
    <w:p>
      <w:pPr>
        <w:widowControl/>
        <w:spacing w:line="560" w:lineRule="exact"/>
        <w:ind w:firstLine="624" w:firstLineChars="196"/>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一、部门基本概况</w:t>
      </w:r>
    </w:p>
    <w:p>
      <w:pPr>
        <w:widowControl/>
        <w:spacing w:line="560" w:lineRule="exact"/>
        <w:ind w:firstLine="624" w:firstLineChars="196"/>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二、部门预算单位构成</w:t>
      </w:r>
    </w:p>
    <w:p>
      <w:pPr>
        <w:widowControl/>
        <w:spacing w:line="560" w:lineRule="exact"/>
        <w:ind w:firstLine="624" w:firstLineChars="196"/>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三、部门收支总体情况</w:t>
      </w:r>
    </w:p>
    <w:p>
      <w:pPr>
        <w:widowControl/>
        <w:spacing w:line="560" w:lineRule="exact"/>
        <w:ind w:firstLine="66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四、一般公共预算拨款支出</w:t>
      </w:r>
    </w:p>
    <w:p>
      <w:pPr>
        <w:widowControl/>
        <w:spacing w:line="560" w:lineRule="exact"/>
        <w:ind w:firstLine="66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五、本部门无政府性基金安排的支出。</w:t>
      </w:r>
    </w:p>
    <w:p>
      <w:pPr>
        <w:widowControl/>
        <w:spacing w:line="560" w:lineRule="exact"/>
        <w:ind w:firstLine="66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六、其他重要事项的情况说明</w:t>
      </w:r>
    </w:p>
    <w:p>
      <w:pPr>
        <w:widowControl/>
        <w:spacing w:line="560" w:lineRule="exact"/>
        <w:ind w:firstLine="660"/>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sz w:val="32"/>
          <w:szCs w:val="32"/>
        </w:rPr>
        <w:t>七、名词解释</w:t>
      </w:r>
    </w:p>
    <w:p>
      <w:pPr>
        <w:widowControl/>
        <w:spacing w:line="560" w:lineRule="exact"/>
        <w:ind w:firstLine="636" w:firstLineChars="200"/>
        <w:jc w:val="both"/>
        <w:rPr>
          <w:rFonts w:ascii="方正小标宋简体" w:hAnsi="Times New Roman" w:eastAsia="方正小标宋简体" w:cs="Times New Roman"/>
          <w:bCs/>
          <w:kern w:val="0"/>
          <w:sz w:val="32"/>
          <w:szCs w:val="32"/>
        </w:rPr>
      </w:pPr>
      <w:r>
        <w:rPr>
          <w:rFonts w:ascii="方正小标宋简体" w:hAnsi="Times New Roman" w:eastAsia="方正小标宋简体" w:cs="Times New Roman"/>
          <w:bCs/>
          <w:kern w:val="0"/>
          <w:sz w:val="32"/>
          <w:szCs w:val="32"/>
        </w:rPr>
        <w:t>第二部分</w:t>
      </w:r>
      <w:r>
        <w:rPr>
          <w:rFonts w:hint="eastAsia" w:ascii="方正小标宋简体" w:hAnsi="Times New Roman" w:eastAsia="方正小标宋简体" w:cs="Times New Roman"/>
          <w:bCs/>
          <w:kern w:val="0"/>
          <w:sz w:val="32"/>
          <w:szCs w:val="32"/>
        </w:rPr>
        <w:t xml:space="preserve"> </w:t>
      </w:r>
      <w:r>
        <w:rPr>
          <w:rFonts w:ascii="方正小标宋简体" w:hAnsi="Times New Roman" w:eastAsia="方正小标宋简体" w:cs="Times New Roman"/>
          <w:bCs/>
          <w:kern w:val="0"/>
          <w:sz w:val="32"/>
          <w:szCs w:val="32"/>
        </w:rPr>
        <w:t>2020年部门预算表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1、部门收支总体情况表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2、部门收入总体情况表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3、部门支出总体情况表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4、部门支出总表（按部门预算经济分类）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5、部门支出总表（按政府预算经济分类）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6、省级基本支出预算明细表-工资福利支出（按部门预算经济分类）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7、省级基本支出预算明细表-工资福利支出（按政府预算经济分类）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8、省级基本支出预算明细表-商品和服务支出（按部门预算经济分类）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9、省级基本支出预算明细表-商品和服务支出（按政府预算经济分类）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10、省级基本支出预算明细表-对个人和家庭的补助（按部门预算经济分类）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11、省级基本支出预算明细表-对个人和家庭的补助（按政府预算经济分类）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12、财政拨款收支总体情况表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13、一般公共预算支出情况表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14、一般公共预算基本支出情况表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15、一般公共预算省级基本支出预算明细表-工资福利支出（按部门预算经济分类）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16、一般公共预算省级基本支出预算明细表-工资福利支出（按政府预算经济分类）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17、一般公共预算省级基本支出预算明细表-商品和服务支出（按部门预算经济分类）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18、一般公共预算省级基本支出预算明细表-商品和服务支出（按政府预算经济分类）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19、一般公共预算省级基本支出预算明细表-对个人和家庭的补助（按部门预算经济分类）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20、一般公共预算省级基本支出预算明细表-对个人和家庭的补助（按政府预算经济分类）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21、政府性基金预算支出情况表（按部门预算经济分类）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22、政府性基金预算支出情况表（按政府预算经济分类）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23、纳入专户管理的非税收入拨款预算分类汇总表（按部门预算经济分类）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24、纳入专户管理的非税收入拨款预算分类汇总表（按政府预算经济分类）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25、一般公共预算拨款--经费拨款预算表（按部门预算经济分类）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26、一般公共预算拨款--经费拨款预算表（按政府预算经济分类）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27、省级专项资金预算汇总表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28、一般公共预算“三公”经费预算表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29、项目支出绩效目标表</w:t>
      </w:r>
    </w:p>
    <w:p>
      <w:pPr>
        <w:widowControl/>
        <w:spacing w:line="560" w:lineRule="exact"/>
        <w:ind w:firstLine="636" w:firstLineChars="200"/>
        <w:jc w:val="left"/>
        <w:rPr>
          <w:rFonts w:hint="eastAsia" w:ascii="方正小标宋简体" w:hAnsi="Times New Roman" w:eastAsia="方正小标宋简体" w:cs="Times New Roman"/>
          <w:bCs/>
          <w:kern w:val="0"/>
          <w:sz w:val="44"/>
          <w:szCs w:val="44"/>
          <w:lang w:val="en-US" w:eastAsia="zh-CN"/>
        </w:rPr>
      </w:pPr>
      <w:r>
        <w:rPr>
          <w:rFonts w:ascii="Times New Roman" w:hAnsi="Times New Roman" w:eastAsia="仿宋_GB2312" w:cs="Times New Roman"/>
          <w:sz w:val="32"/>
          <w:szCs w:val="32"/>
        </w:rPr>
        <w:t>30、整体支出绩效目标表</w:t>
      </w:r>
    </w:p>
    <w:p>
      <w:pPr>
        <w:widowControl/>
        <w:spacing w:line="560" w:lineRule="exact"/>
        <w:rPr>
          <w:rFonts w:ascii="Times New Roman" w:hAnsi="Times New Roman" w:eastAsia="仿宋_GB2312" w:cs="Times New Roman"/>
          <w:bCs/>
          <w:kern w:val="0"/>
          <w:sz w:val="32"/>
          <w:szCs w:val="32"/>
        </w:rPr>
      </w:pPr>
    </w:p>
    <w:p>
      <w:pPr>
        <w:widowControl/>
        <w:spacing w:line="560" w:lineRule="exact"/>
        <w:rPr>
          <w:rFonts w:ascii="Times New Roman" w:hAnsi="Times New Roman" w:eastAsia="仿宋_GB2312" w:cs="Times New Roman"/>
          <w:bCs/>
          <w:kern w:val="0"/>
          <w:sz w:val="32"/>
          <w:szCs w:val="32"/>
        </w:rPr>
      </w:pPr>
    </w:p>
    <w:p>
      <w:pPr>
        <w:widowControl/>
        <w:spacing w:line="560" w:lineRule="exact"/>
        <w:jc w:val="center"/>
        <w:rPr>
          <w:rFonts w:ascii="方正小标宋简体" w:hAnsi="Times New Roman" w:eastAsia="方正小标宋简体" w:cs="Times New Roman"/>
          <w:bCs/>
          <w:kern w:val="0"/>
          <w:sz w:val="36"/>
          <w:szCs w:val="36"/>
        </w:rPr>
      </w:pPr>
      <w:r>
        <w:rPr>
          <w:rFonts w:hint="eastAsia" w:ascii="方正小标宋简体" w:hAnsi="Times New Roman" w:eastAsia="方正小标宋简体" w:cs="Times New Roman"/>
          <w:bCs/>
          <w:kern w:val="0"/>
          <w:sz w:val="36"/>
          <w:szCs w:val="36"/>
        </w:rPr>
        <w:t>第一部分 2020年部门预算说明</w:t>
      </w:r>
    </w:p>
    <w:p>
      <w:pPr>
        <w:widowControl/>
        <w:spacing w:line="560" w:lineRule="exact"/>
        <w:ind w:firstLine="624" w:firstLineChars="196"/>
        <w:jc w:val="left"/>
        <w:rPr>
          <w:rFonts w:ascii="Times New Roman" w:hAnsi="Times New Roman" w:eastAsia="黑体" w:cs="Times New Roman"/>
          <w:bCs/>
          <w:kern w:val="0"/>
          <w:sz w:val="32"/>
          <w:szCs w:val="32"/>
        </w:rPr>
      </w:pPr>
    </w:p>
    <w:p>
      <w:pPr>
        <w:widowControl/>
        <w:spacing w:line="560" w:lineRule="exact"/>
        <w:ind w:firstLine="624" w:firstLineChars="196"/>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一、部门基本概况</w:t>
      </w:r>
    </w:p>
    <w:p>
      <w:pPr>
        <w:pStyle w:val="4"/>
        <w:shd w:val="clear" w:color="auto" w:fill="FFFFFF"/>
        <w:spacing w:before="0" w:beforeAutospacing="0" w:after="0" w:afterAutospacing="0" w:line="560" w:lineRule="exact"/>
        <w:ind w:right="-104" w:rightChars="-50" w:firstLine="636" w:firstLineChars="200"/>
        <w:jc w:val="both"/>
        <w:rPr>
          <w:rFonts w:hint="eastAsia" w:ascii="仿宋_GB2312" w:hAnsi="Times New Roman" w:eastAsia="仿宋_GB2312" w:cs="Times New Roman"/>
          <w:sz w:val="32"/>
          <w:szCs w:val="32"/>
        </w:rPr>
      </w:pPr>
      <w:r>
        <w:rPr>
          <w:rFonts w:hint="eastAsia" w:ascii="楷体_GB2312" w:hAnsi="Times New Roman" w:eastAsia="楷体_GB2312" w:cs="Times New Roman"/>
          <w:sz w:val="32"/>
          <w:szCs w:val="32"/>
        </w:rPr>
        <w:t>1、职能职责。</w:t>
      </w:r>
      <w:r>
        <w:rPr>
          <w:rFonts w:hint="eastAsia" w:ascii="仿宋_GB2312" w:hAnsi="Times New Roman" w:eastAsia="仿宋_GB2312" w:cs="Times New Roman"/>
          <w:sz w:val="32"/>
          <w:szCs w:val="32"/>
        </w:rPr>
        <w:t>湖南省退役军人事务厅是省人民政府组成部门，组建于</w:t>
      </w:r>
      <w:r>
        <w:rPr>
          <w:rFonts w:hint="eastAsia" w:ascii="Times New Roman" w:hAnsi="Times New Roman" w:eastAsia="仿宋_GB2312" w:cs="Times New Roman"/>
          <w:kern w:val="2"/>
          <w:sz w:val="32"/>
          <w:szCs w:val="32"/>
        </w:rPr>
        <w:t>2018</w:t>
      </w:r>
      <w:r>
        <w:rPr>
          <w:rFonts w:hint="eastAsia" w:ascii="仿宋_GB2312" w:hAnsi="Times New Roman" w:eastAsia="仿宋_GB2312" w:cs="Times New Roman"/>
          <w:sz w:val="32"/>
          <w:szCs w:val="32"/>
        </w:rPr>
        <w:t>年</w:t>
      </w:r>
      <w:r>
        <w:rPr>
          <w:rFonts w:hint="eastAsia" w:ascii="Times New Roman" w:hAnsi="Times New Roman" w:eastAsia="仿宋_GB2312" w:cs="Times New Roman"/>
          <w:kern w:val="2"/>
          <w:sz w:val="32"/>
          <w:szCs w:val="32"/>
        </w:rPr>
        <w:t>11</w:t>
      </w:r>
      <w:r>
        <w:rPr>
          <w:rFonts w:hint="eastAsia" w:ascii="仿宋_GB2312" w:hAnsi="Times New Roman" w:eastAsia="仿宋_GB2312" w:cs="Times New Roman"/>
          <w:sz w:val="32"/>
          <w:szCs w:val="32"/>
        </w:rPr>
        <w:t>月。其主要职责是：</w:t>
      </w:r>
      <w:r>
        <w:rPr>
          <w:rStyle w:val="10"/>
          <w:rFonts w:hint="eastAsia" w:ascii="仿宋_GB2312" w:hAnsi="Arial" w:eastAsia="仿宋_GB2312" w:cs="Arial"/>
          <w:color w:val="333333"/>
          <w:sz w:val="32"/>
          <w:szCs w:val="32"/>
        </w:rPr>
        <w:t>贯彻执行党和国家关于退役军人思想政治、管理保障等工作政策法规，拟订全省退役军人事务发展规划和政策并组织实施，褒扬彰显退役军人为党、国家和人民牺牲奉献的精神风范和价值导向，负责军队转业干部、复员干部、退休干部、退役士兵的移交安置工作和自主择业退役军人服务管理、待遇保障工作，组织开展退役军人教育培训、权益维护、优待抚恤、信访稳定等，指导全省拥军优属工作，负责烈士及退役军人荣誉奖励、军人公墓维护以及纪念活动等</w:t>
      </w:r>
      <w:r>
        <w:rPr>
          <w:rFonts w:hint="eastAsia" w:ascii="仿宋_GB2312" w:hAnsi="仿宋" w:eastAsia="仿宋_GB2312"/>
          <w:sz w:val="32"/>
          <w:szCs w:val="32"/>
        </w:rPr>
        <w:t>。</w:t>
      </w:r>
    </w:p>
    <w:p>
      <w:pPr>
        <w:widowControl/>
        <w:spacing w:line="560" w:lineRule="exact"/>
        <w:ind w:firstLine="624" w:firstLineChars="196"/>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rPr>
        <w:t>2、机构设置。</w:t>
      </w:r>
      <w:r>
        <w:rPr>
          <w:rFonts w:hint="eastAsia" w:ascii="Times New Roman" w:hAnsi="Times New Roman" w:eastAsia="仿宋_GB2312" w:cs="Times New Roman"/>
          <w:sz w:val="32"/>
          <w:szCs w:val="32"/>
        </w:rPr>
        <w:t>省退役军人事务厅内设9个处室，分别是：办公室、政策法规处、思想政治和权益维护处、规划财务处、移交安置处、就业创业处、军休服务管理处、拥军优抚处和机关党委（人事处）。下设3个二级预算单位，分别是：省退役军人服务中心、省荣军医院和省军供总站。</w:t>
      </w:r>
    </w:p>
    <w:p>
      <w:pPr>
        <w:widowControl/>
        <w:spacing w:line="560" w:lineRule="exact"/>
        <w:ind w:firstLine="624" w:firstLineChars="196"/>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二、部门预算单位构成</w:t>
      </w:r>
    </w:p>
    <w:p>
      <w:pPr>
        <w:widowControl/>
        <w:spacing w:line="560" w:lineRule="exact"/>
        <w:ind w:firstLine="624"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纳入2020年部门预算编制范围的二级预算单位包括：</w:t>
      </w:r>
      <w:r>
        <w:rPr>
          <w:rFonts w:hint="eastAsia" w:ascii="Times New Roman" w:hAnsi="Times New Roman" w:eastAsia="仿宋_GB2312" w:cs="Times New Roman"/>
          <w:sz w:val="32"/>
          <w:szCs w:val="32"/>
        </w:rPr>
        <w:t>省退役军人事务厅</w:t>
      </w:r>
      <w:r>
        <w:rPr>
          <w:rFonts w:ascii="Times New Roman" w:hAnsi="Times New Roman" w:eastAsia="仿宋_GB2312" w:cs="Times New Roman"/>
          <w:sz w:val="32"/>
          <w:szCs w:val="32"/>
        </w:rPr>
        <w:t>本级</w:t>
      </w:r>
      <w:r>
        <w:rPr>
          <w:rFonts w:hint="eastAsia" w:ascii="Times New Roman" w:hAnsi="Times New Roman" w:eastAsia="仿宋_GB2312" w:cs="Times New Roman"/>
          <w:sz w:val="32"/>
          <w:szCs w:val="32"/>
        </w:rPr>
        <w:t>、省退役军人服务中心、省荣军医院和省军供总站。其中省退役军人服务中心为2020年新增预算单位。</w:t>
      </w:r>
    </w:p>
    <w:p>
      <w:pPr>
        <w:widowControl/>
        <w:spacing w:line="560" w:lineRule="exact"/>
        <w:ind w:firstLine="624" w:firstLineChars="196"/>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三、部门收支总体情况</w:t>
      </w:r>
    </w:p>
    <w:p>
      <w:pPr>
        <w:widowControl/>
        <w:spacing w:line="560" w:lineRule="exact"/>
        <w:ind w:firstLine="636"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2020年部门预算包括本级预算和所属单位预算在内的汇总情况。收入包括一般公共预算收入</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事业单位经营服务收入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既</w:t>
      </w:r>
      <w:r>
        <w:rPr>
          <w:rFonts w:ascii="Times New Roman" w:hAnsi="Times New Roman" w:eastAsia="仿宋_GB2312" w:cs="Times New Roman"/>
          <w:sz w:val="32"/>
          <w:szCs w:val="32"/>
        </w:rPr>
        <w:t>包括保障厅机关</w:t>
      </w:r>
      <w:r>
        <w:rPr>
          <w:rFonts w:hint="eastAsia" w:ascii="仿宋_GB2312" w:hAnsi="Times New Roman" w:eastAsia="仿宋_GB2312" w:cs="Times New Roman"/>
          <w:sz w:val="32"/>
          <w:szCs w:val="32"/>
        </w:rPr>
        <w:t>及厅属事业单位基本运行的经费，也包括</w:t>
      </w:r>
      <w:r>
        <w:rPr>
          <w:rFonts w:ascii="Times New Roman" w:hAnsi="Times New Roman" w:eastAsia="仿宋_GB2312" w:cs="Times New Roman"/>
          <w:sz w:val="32"/>
          <w:szCs w:val="32"/>
        </w:rPr>
        <w:t>厅机关</w:t>
      </w:r>
      <w:r>
        <w:rPr>
          <w:rFonts w:hint="eastAsia" w:ascii="仿宋_GB2312" w:hAnsi="Times New Roman" w:eastAsia="仿宋_GB2312" w:cs="Times New Roman"/>
          <w:sz w:val="32"/>
          <w:szCs w:val="32"/>
        </w:rPr>
        <w:t>及厅属事业单</w:t>
      </w:r>
      <w:r>
        <w:rPr>
          <w:rFonts w:hint="eastAsia" w:ascii="Times New Roman" w:hAnsi="Times New Roman" w:eastAsia="仿宋_GB2312" w:cs="Times New Roman"/>
          <w:sz w:val="32"/>
          <w:szCs w:val="32"/>
        </w:rPr>
        <w:t>位为完成特定工作任务或事业发展而发生的项目支出。</w:t>
      </w:r>
    </w:p>
    <w:p>
      <w:pPr>
        <w:widowControl/>
        <w:spacing w:line="560" w:lineRule="exact"/>
        <w:ind w:firstLine="624" w:firstLineChars="196"/>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（一）收入预算：</w:t>
      </w:r>
      <w:r>
        <w:rPr>
          <w:rFonts w:ascii="Times New Roman" w:hAnsi="Times New Roman" w:eastAsia="仿宋_GB2312" w:cs="Times New Roman"/>
          <w:sz w:val="32"/>
          <w:szCs w:val="32"/>
        </w:rPr>
        <w:t>2020年年初预算数</w:t>
      </w:r>
      <w:r>
        <w:rPr>
          <w:rFonts w:hint="eastAsia" w:ascii="Times New Roman" w:hAnsi="Times New Roman" w:eastAsia="仿宋_GB2312" w:cs="Times New Roman"/>
          <w:sz w:val="32"/>
          <w:szCs w:val="32"/>
        </w:rPr>
        <w:t>11604.44</w:t>
      </w:r>
      <w:r>
        <w:rPr>
          <w:rFonts w:ascii="Times New Roman" w:hAnsi="Times New Roman" w:eastAsia="仿宋_GB2312" w:cs="Times New Roman"/>
          <w:sz w:val="32"/>
          <w:szCs w:val="32"/>
        </w:rPr>
        <w:t>万元，其中，一般公共预算拨款</w:t>
      </w:r>
      <w:r>
        <w:rPr>
          <w:rFonts w:hint="eastAsia" w:ascii="Times New Roman" w:hAnsi="Times New Roman" w:eastAsia="仿宋_GB2312" w:cs="Times New Roman"/>
          <w:sz w:val="32"/>
          <w:szCs w:val="32"/>
        </w:rPr>
        <w:t>5573.44</w:t>
      </w:r>
      <w:r>
        <w:rPr>
          <w:rFonts w:ascii="Times New Roman" w:hAnsi="Times New Roman" w:eastAsia="仿宋_GB2312" w:cs="Times New Roman"/>
          <w:sz w:val="32"/>
          <w:szCs w:val="32"/>
        </w:rPr>
        <w:t>万元，事业单位经营服务收入</w:t>
      </w:r>
      <w:r>
        <w:rPr>
          <w:rFonts w:hint="eastAsia" w:ascii="Times New Roman" w:hAnsi="Times New Roman" w:eastAsia="仿宋_GB2312" w:cs="Times New Roman"/>
          <w:sz w:val="32"/>
          <w:szCs w:val="32"/>
        </w:rPr>
        <w:t>6031万元</w:t>
      </w:r>
      <w:r>
        <w:rPr>
          <w:rFonts w:ascii="Times New Roman" w:hAnsi="Times New Roman" w:eastAsia="仿宋_GB2312" w:cs="Times New Roman"/>
          <w:sz w:val="32"/>
          <w:szCs w:val="32"/>
        </w:rPr>
        <w:t>。收入较去年增加</w:t>
      </w:r>
      <w:r>
        <w:rPr>
          <w:rFonts w:hint="eastAsia" w:ascii="Times New Roman" w:hAnsi="Times New Roman" w:eastAsia="仿宋_GB2312" w:cs="Times New Roman"/>
          <w:sz w:val="32"/>
          <w:szCs w:val="32"/>
        </w:rPr>
        <w:t>1623.74</w:t>
      </w:r>
      <w:r>
        <w:rPr>
          <w:rFonts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rPr>
        <w:t>经费拨款增加1763.19万元，事业单位经营服务收入减少139.45万元。省退役军人事务厅没有</w:t>
      </w:r>
      <w:r>
        <w:rPr>
          <w:rFonts w:ascii="Times New Roman" w:hAnsi="Times New Roman" w:eastAsia="仿宋_GB2312" w:cs="Times New Roman"/>
          <w:sz w:val="32"/>
          <w:szCs w:val="32"/>
        </w:rPr>
        <w:t>政府性基金收入</w:t>
      </w:r>
      <w:r>
        <w:rPr>
          <w:rFonts w:hint="eastAsia" w:ascii="Times New Roman" w:hAnsi="Times New Roman" w:eastAsia="仿宋_GB2312" w:cs="Times New Roman"/>
          <w:sz w:val="32"/>
          <w:szCs w:val="32"/>
        </w:rPr>
        <w:t>和纳入专户管理的非税收入，所以公开的附件21、22、23、24表为空。</w:t>
      </w:r>
    </w:p>
    <w:p>
      <w:pPr>
        <w:widowControl/>
        <w:spacing w:line="560" w:lineRule="exact"/>
        <w:ind w:firstLine="624" w:firstLineChars="196"/>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（二）支出预算：</w:t>
      </w:r>
      <w:r>
        <w:rPr>
          <w:rFonts w:ascii="Times New Roman" w:hAnsi="Times New Roman" w:eastAsia="仿宋_GB2312" w:cs="Times New Roman"/>
          <w:sz w:val="32"/>
          <w:szCs w:val="32"/>
        </w:rPr>
        <w:t>2020年年初预算数</w:t>
      </w:r>
      <w:r>
        <w:rPr>
          <w:rFonts w:hint="eastAsia" w:ascii="Times New Roman" w:hAnsi="Times New Roman" w:eastAsia="仿宋_GB2312" w:cs="Times New Roman"/>
          <w:sz w:val="32"/>
          <w:szCs w:val="32"/>
        </w:rPr>
        <w:t>11604.44</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社会保障和就业支出11394.21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卫生健康支出50万元，住房保障支出160.23万元。</w:t>
      </w:r>
      <w:r>
        <w:rPr>
          <w:rFonts w:ascii="Times New Roman" w:hAnsi="Times New Roman" w:eastAsia="仿宋_GB2312" w:cs="Times New Roman"/>
          <w:sz w:val="32"/>
          <w:szCs w:val="32"/>
        </w:rPr>
        <w:t>支出较去年增加</w:t>
      </w:r>
      <w:r>
        <w:rPr>
          <w:rFonts w:hint="eastAsia" w:ascii="Times New Roman" w:hAnsi="Times New Roman" w:eastAsia="仿宋_GB2312" w:cs="Times New Roman"/>
          <w:sz w:val="32"/>
          <w:szCs w:val="32"/>
        </w:rPr>
        <w:t>1623.74</w:t>
      </w:r>
      <w:r>
        <w:rPr>
          <w:rFonts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rPr>
        <w:t>基本支出增加715.39万元、项目支出增加1047.8万元、事业单位经营服务支出减少139.45万元。</w:t>
      </w:r>
    </w:p>
    <w:p>
      <w:pPr>
        <w:widowControl/>
        <w:spacing w:line="560" w:lineRule="exact"/>
        <w:ind w:firstLine="660"/>
        <w:jc w:val="left"/>
        <w:rPr>
          <w:rFonts w:ascii="Times New Roman" w:hAnsi="Times New Roman" w:eastAsia="黑体" w:cs="Times New Roman"/>
          <w:sz w:val="32"/>
          <w:szCs w:val="32"/>
        </w:rPr>
      </w:pPr>
      <w:r>
        <w:rPr>
          <w:rFonts w:ascii="Times New Roman" w:hAnsi="Times New Roman" w:eastAsia="黑体" w:cs="Times New Roman"/>
          <w:sz w:val="32"/>
          <w:szCs w:val="32"/>
        </w:rPr>
        <w:t>四、一般公共预算拨款支出</w:t>
      </w:r>
    </w:p>
    <w:p>
      <w:pPr>
        <w:widowControl/>
        <w:spacing w:line="560" w:lineRule="exact"/>
        <w:ind w:firstLine="660"/>
        <w:jc w:val="left"/>
        <w:rPr>
          <w:rFonts w:ascii="Times New Roman" w:hAnsi="Times New Roman" w:eastAsia="黑体" w:cs="Times New Roman"/>
          <w:sz w:val="32"/>
          <w:szCs w:val="32"/>
        </w:rPr>
      </w:pPr>
      <w:r>
        <w:rPr>
          <w:rFonts w:ascii="Times New Roman" w:hAnsi="Times New Roman" w:eastAsia="仿宋_GB2312" w:cs="Times New Roman"/>
          <w:sz w:val="32"/>
          <w:szCs w:val="32"/>
        </w:rPr>
        <w:t>2020年一般公共预算拨款</w:t>
      </w:r>
      <w:r>
        <w:rPr>
          <w:rFonts w:hint="eastAsia" w:ascii="Times New Roman" w:hAnsi="Times New Roman" w:eastAsia="仿宋_GB2312" w:cs="Times New Roman"/>
          <w:sz w:val="32"/>
          <w:szCs w:val="32"/>
        </w:rPr>
        <w:t>支出预算5573.44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其中，社会保障和就业支出5363.21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占96.23 %；卫生健康支出50万元，占0.9 %；住房保障支出160.23万元，占2.87 %。</w:t>
      </w:r>
      <w:r>
        <w:rPr>
          <w:rFonts w:ascii="Times New Roman" w:hAnsi="Times New Roman" w:eastAsia="仿宋_GB2312" w:cs="Times New Roman"/>
          <w:sz w:val="32"/>
          <w:szCs w:val="32"/>
        </w:rPr>
        <w:t>具体安排情况如下：</w:t>
      </w:r>
    </w:p>
    <w:p>
      <w:pPr>
        <w:widowControl/>
        <w:spacing w:line="560" w:lineRule="exact"/>
        <w:ind w:firstLine="658"/>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（一）基本支出</w:t>
      </w:r>
      <w:r>
        <w:rPr>
          <w:rFonts w:ascii="Times New Roman" w:hAnsi="Times New Roman" w:eastAsia="仿宋_GB2312" w:cs="Times New Roman"/>
          <w:sz w:val="32"/>
          <w:szCs w:val="32"/>
        </w:rPr>
        <w:t>：2020年基本支出年初预算数为</w:t>
      </w:r>
      <w:r>
        <w:rPr>
          <w:rFonts w:hint="eastAsia" w:ascii="Times New Roman" w:hAnsi="Times New Roman" w:eastAsia="仿宋_GB2312" w:cs="Times New Roman"/>
          <w:sz w:val="32"/>
          <w:szCs w:val="32"/>
        </w:rPr>
        <w:t>3363.44</w:t>
      </w:r>
      <w:r>
        <w:rPr>
          <w:rFonts w:ascii="Times New Roman" w:hAnsi="Times New Roman" w:eastAsia="仿宋_GB2312" w:cs="Times New Roman"/>
          <w:sz w:val="32"/>
          <w:szCs w:val="32"/>
        </w:rPr>
        <w:t>万元，是指为保障单位机构正常运转、完成日常工作任务而发生的各项支出，</w:t>
      </w:r>
      <w:r>
        <w:rPr>
          <w:rFonts w:hint="eastAsia" w:ascii="Times New Roman" w:hAnsi="Times New Roman" w:eastAsia="仿宋_GB2312" w:cs="Times New Roman"/>
          <w:sz w:val="32"/>
          <w:szCs w:val="32"/>
        </w:rPr>
        <w:t>主要</w:t>
      </w:r>
      <w:r>
        <w:rPr>
          <w:rFonts w:ascii="Times New Roman" w:hAnsi="Times New Roman" w:eastAsia="仿宋_GB2312" w:cs="Times New Roman"/>
          <w:sz w:val="32"/>
          <w:szCs w:val="32"/>
        </w:rPr>
        <w:t>包括用于基本工资、津贴补贴等人员经费以及办公费、印刷费、水电费、办公设备购置等公用经费。</w:t>
      </w:r>
    </w:p>
    <w:p>
      <w:pPr>
        <w:widowControl/>
        <w:spacing w:line="560" w:lineRule="exact"/>
        <w:ind w:firstLine="658"/>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（二）项目支出：</w:t>
      </w:r>
      <w:r>
        <w:rPr>
          <w:rFonts w:ascii="Times New Roman" w:hAnsi="Times New Roman" w:eastAsia="仿宋_GB2312" w:cs="Times New Roman"/>
          <w:sz w:val="32"/>
          <w:szCs w:val="32"/>
        </w:rPr>
        <w:t>2020年项目支出年初预算数为</w:t>
      </w:r>
      <w:r>
        <w:rPr>
          <w:rFonts w:hint="eastAsia" w:ascii="Times New Roman" w:hAnsi="Times New Roman" w:eastAsia="仿宋_GB2312" w:cs="Times New Roman"/>
          <w:sz w:val="32"/>
          <w:szCs w:val="32"/>
        </w:rPr>
        <w:t>2209.8</w:t>
      </w:r>
      <w:r>
        <w:rPr>
          <w:rFonts w:ascii="Times New Roman" w:hAnsi="Times New Roman" w:eastAsia="仿宋_GB2312" w:cs="Times New Roman"/>
          <w:sz w:val="32"/>
          <w:szCs w:val="32"/>
        </w:rPr>
        <w:t>万元，是指单位为完成特定行政工作任务或事业发展目标而发生的支出，包括有关</w:t>
      </w:r>
      <w:r>
        <w:rPr>
          <w:rFonts w:hint="eastAsia" w:ascii="Times New Roman" w:hAnsi="Times New Roman" w:eastAsia="仿宋_GB2312" w:cs="Times New Roman"/>
          <w:sz w:val="32"/>
          <w:szCs w:val="32"/>
        </w:rPr>
        <w:t>业务工作经费和运行维护经费</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业务工作经费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1999.8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部队和退役军人及其他优抚对象走访慰问、重点优抚对象短期疗养及医疗巡诊、集中供养</w:t>
      </w:r>
      <w:r>
        <w:rPr>
          <w:rFonts w:ascii="Times New Roman" w:hAnsi="Times New Roman" w:eastAsia="仿宋_GB2312" w:cs="Times New Roman"/>
          <w:sz w:val="32"/>
          <w:szCs w:val="32"/>
        </w:rPr>
        <w:t>伤残军人</w:t>
      </w:r>
      <w:r>
        <w:rPr>
          <w:rFonts w:hint="eastAsia" w:ascii="Times New Roman" w:hAnsi="Times New Roman" w:eastAsia="仿宋_GB2312" w:cs="Times New Roman"/>
          <w:sz w:val="32"/>
          <w:szCs w:val="32"/>
        </w:rPr>
        <w:t>医药费、</w:t>
      </w:r>
      <w:r>
        <w:rPr>
          <w:rFonts w:ascii="Times New Roman" w:hAnsi="Times New Roman" w:eastAsia="仿宋_GB2312" w:cs="Times New Roman"/>
          <w:sz w:val="32"/>
          <w:szCs w:val="32"/>
        </w:rPr>
        <w:t>伤残军人假肢辅具配置</w:t>
      </w:r>
      <w:r>
        <w:rPr>
          <w:rFonts w:hint="eastAsia" w:ascii="Times New Roman" w:hAnsi="Times New Roman" w:eastAsia="仿宋_GB2312" w:cs="Times New Roman"/>
          <w:sz w:val="32"/>
          <w:szCs w:val="32"/>
        </w:rPr>
        <w:t>、双拥工作及褒扬纪念活动、退役军人服务管理及权益维护</w:t>
      </w:r>
      <w:r>
        <w:rPr>
          <w:rFonts w:ascii="Times New Roman" w:hAnsi="Times New Roman" w:eastAsia="仿宋_GB2312" w:cs="Times New Roman"/>
          <w:sz w:val="32"/>
          <w:szCs w:val="32"/>
        </w:rPr>
        <w:t>等方面；</w:t>
      </w:r>
      <w:r>
        <w:rPr>
          <w:rFonts w:hint="eastAsia" w:ascii="Times New Roman" w:hAnsi="Times New Roman" w:eastAsia="仿宋_GB2312" w:cs="Times New Roman"/>
          <w:sz w:val="32"/>
          <w:szCs w:val="32"/>
        </w:rPr>
        <w:t>运行维护</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210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优抚事业单位维修维护、公务用车购置和厅本级和省退役军人服务中心添置办公设备</w:t>
      </w:r>
      <w:r>
        <w:rPr>
          <w:rFonts w:ascii="Times New Roman" w:hAnsi="Times New Roman" w:eastAsia="仿宋_GB2312" w:cs="Times New Roman"/>
          <w:sz w:val="32"/>
          <w:szCs w:val="32"/>
        </w:rPr>
        <w:t>等方面。</w:t>
      </w:r>
    </w:p>
    <w:p>
      <w:pPr>
        <w:widowControl/>
        <w:spacing w:line="560" w:lineRule="exact"/>
        <w:ind w:firstLine="660"/>
        <w:jc w:val="left"/>
        <w:rPr>
          <w:rFonts w:hint="eastAsia" w:ascii="Times New Roman" w:hAnsi="Times New Roman" w:eastAsia="黑体" w:cs="Times New Roman"/>
          <w:sz w:val="32"/>
          <w:szCs w:val="32"/>
        </w:rPr>
      </w:pPr>
      <w:r>
        <w:rPr>
          <w:rFonts w:ascii="Times New Roman" w:hAnsi="Times New Roman" w:eastAsia="黑体" w:cs="Times New Roman"/>
          <w:sz w:val="32"/>
          <w:szCs w:val="32"/>
        </w:rPr>
        <w:t>五、</w:t>
      </w:r>
      <w:r>
        <w:rPr>
          <w:rFonts w:hint="eastAsia" w:ascii="Times New Roman" w:hAnsi="Times New Roman" w:eastAsia="黑体" w:cs="Times New Roman"/>
          <w:sz w:val="32"/>
          <w:szCs w:val="32"/>
        </w:rPr>
        <w:t>本部门无政府性基金安排的支出。</w:t>
      </w:r>
    </w:p>
    <w:p>
      <w:pPr>
        <w:widowControl/>
        <w:spacing w:line="560" w:lineRule="exact"/>
        <w:ind w:firstLine="66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其他重要事项的情况说明</w:t>
      </w:r>
    </w:p>
    <w:p>
      <w:pPr>
        <w:widowControl/>
        <w:spacing w:line="560" w:lineRule="exact"/>
        <w:ind w:firstLine="660"/>
        <w:jc w:val="left"/>
        <w:rPr>
          <w:rFonts w:ascii="Times New Roman" w:hAnsi="Times New Roman" w:eastAsia="仿宋_GB2312" w:cs="Times New Roman"/>
          <w:sz w:val="32"/>
          <w:szCs w:val="32"/>
        </w:rPr>
      </w:pPr>
      <w:r>
        <w:rPr>
          <w:rFonts w:hint="eastAsia" w:ascii="楷体_GB2312" w:hAnsi="Times New Roman" w:eastAsia="楷体_GB2312" w:cs="Times New Roman"/>
          <w:sz w:val="32"/>
          <w:szCs w:val="32"/>
        </w:rPr>
        <w:t>1、机关运行经费：</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本级的机关运行经费当年一般公共预算拨款</w:t>
      </w:r>
      <w:r>
        <w:rPr>
          <w:rFonts w:hint="eastAsia" w:ascii="Times New Roman" w:hAnsi="Times New Roman" w:eastAsia="仿宋_GB2312" w:cs="Times New Roman"/>
          <w:sz w:val="32"/>
          <w:szCs w:val="32"/>
        </w:rPr>
        <w:t>418.25</w:t>
      </w:r>
      <w:r>
        <w:rPr>
          <w:rFonts w:ascii="Times New Roman" w:hAnsi="Times New Roman" w:eastAsia="仿宋_GB2312" w:cs="Times New Roman"/>
          <w:sz w:val="32"/>
          <w:szCs w:val="32"/>
        </w:rPr>
        <w:t>万元，比2019年预算增加</w:t>
      </w:r>
      <w:r>
        <w:rPr>
          <w:rFonts w:hint="eastAsia" w:ascii="Times New Roman" w:hAnsi="Times New Roman" w:eastAsia="仿宋_GB2312" w:cs="Times New Roman"/>
          <w:sz w:val="32"/>
          <w:szCs w:val="32"/>
        </w:rPr>
        <w:t>342.78</w:t>
      </w:r>
      <w:r>
        <w:rPr>
          <w:rFonts w:ascii="Times New Roman" w:hAnsi="Times New Roman" w:eastAsia="仿宋_GB2312" w:cs="Times New Roman"/>
          <w:sz w:val="32"/>
          <w:szCs w:val="32"/>
        </w:rPr>
        <w:t>万元，上升</w:t>
      </w:r>
      <w:r>
        <w:rPr>
          <w:rFonts w:hint="eastAsia" w:ascii="Times New Roman" w:hAnsi="Times New Roman" w:eastAsia="仿宋_GB2312" w:cs="Times New Roman"/>
          <w:sz w:val="32"/>
          <w:szCs w:val="32"/>
        </w:rPr>
        <w:t>454.19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主要是因机构新组建增加的基本运行经费，以及转隶新增人员相应增加公用经费。</w:t>
      </w:r>
    </w:p>
    <w:p>
      <w:pPr>
        <w:widowControl/>
        <w:spacing w:line="560" w:lineRule="exact"/>
        <w:ind w:firstLine="66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2、“三公”经费预算：</w:t>
      </w:r>
      <w:r>
        <w:rPr>
          <w:rFonts w:ascii="Times New Roman" w:hAnsi="Times New Roman" w:eastAsia="仿宋_GB2312" w:cs="Times New Roman"/>
          <w:sz w:val="32"/>
          <w:szCs w:val="32"/>
        </w:rPr>
        <w:t>2020年“三公”经费预算数为</w:t>
      </w:r>
      <w:r>
        <w:rPr>
          <w:rFonts w:hint="eastAsia" w:ascii="Times New Roman" w:hAnsi="Times New Roman" w:eastAsia="仿宋_GB2312" w:cs="Times New Roman"/>
          <w:sz w:val="32"/>
          <w:szCs w:val="32"/>
        </w:rPr>
        <w:t>101.8</w:t>
      </w:r>
      <w:r>
        <w:rPr>
          <w:rFonts w:ascii="Times New Roman" w:hAnsi="Times New Roman" w:eastAsia="仿宋_GB2312" w:cs="Times New Roman"/>
          <w:sz w:val="32"/>
          <w:szCs w:val="32"/>
        </w:rPr>
        <w:t>万元，其中，公务接待费</w:t>
      </w:r>
      <w:r>
        <w:rPr>
          <w:rFonts w:hint="eastAsia" w:ascii="Times New Roman" w:hAnsi="Times New Roman" w:eastAsia="仿宋_GB2312" w:cs="Times New Roman"/>
          <w:sz w:val="32"/>
          <w:szCs w:val="32"/>
        </w:rPr>
        <w:t>11.3</w:t>
      </w:r>
      <w:r>
        <w:rPr>
          <w:rFonts w:ascii="Times New Roman" w:hAnsi="Times New Roman" w:eastAsia="仿宋_GB2312" w:cs="Times New Roman"/>
          <w:sz w:val="32"/>
          <w:szCs w:val="32"/>
        </w:rPr>
        <w:t>万元，公务用车购置及运行费</w:t>
      </w:r>
      <w:r>
        <w:rPr>
          <w:rFonts w:hint="eastAsia" w:ascii="Times New Roman" w:hAnsi="Times New Roman" w:eastAsia="仿宋_GB2312" w:cs="Times New Roman"/>
          <w:sz w:val="32"/>
          <w:szCs w:val="32"/>
        </w:rPr>
        <w:t>80.5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万元，公务用车运行费</w:t>
      </w:r>
      <w:r>
        <w:rPr>
          <w:rFonts w:hint="eastAsia" w:ascii="Times New Roman" w:hAnsi="Times New Roman" w:eastAsia="仿宋_GB2312" w:cs="Times New Roman"/>
          <w:sz w:val="32"/>
          <w:szCs w:val="32"/>
        </w:rPr>
        <w:t>30.5</w:t>
      </w:r>
      <w:r>
        <w:rPr>
          <w:rFonts w:ascii="Times New Roman" w:hAnsi="Times New Roman" w:eastAsia="仿宋_GB2312" w:cs="Times New Roman"/>
          <w:sz w:val="32"/>
          <w:szCs w:val="32"/>
        </w:rPr>
        <w:t>万元），因公出国（境）费</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万元。2020年“三公”经费预算较2019年增加</w:t>
      </w:r>
      <w:r>
        <w:rPr>
          <w:rFonts w:hint="eastAsia" w:ascii="Times New Roman" w:hAnsi="Times New Roman" w:eastAsia="仿宋_GB2312" w:cs="Times New Roman"/>
          <w:sz w:val="32"/>
          <w:szCs w:val="32"/>
        </w:rPr>
        <w:t>71.8</w:t>
      </w:r>
      <w:r>
        <w:rPr>
          <w:rFonts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rPr>
        <w:t>机构新组建，拟购置公务用车2台增加50万元、因公出国（境）费增加10万元、公务接待费增加8.3万元、公务用车运行费增加3.5万元</w:t>
      </w:r>
      <w:r>
        <w:rPr>
          <w:rFonts w:ascii="Times New Roman" w:hAnsi="Times New Roman" w:eastAsia="仿宋_GB2312" w:cs="Times New Roman"/>
          <w:sz w:val="32"/>
          <w:szCs w:val="32"/>
        </w:rPr>
        <w:t>。</w:t>
      </w:r>
    </w:p>
    <w:p>
      <w:pPr>
        <w:widowControl/>
        <w:spacing w:line="560" w:lineRule="exact"/>
        <w:ind w:firstLine="660"/>
        <w:rPr>
          <w:rFonts w:ascii="Times New Roman" w:hAnsi="Times New Roman" w:eastAsia="仿宋_GB2312" w:cs="Times New Roman"/>
          <w:kern w:val="0"/>
          <w:sz w:val="32"/>
          <w:szCs w:val="32"/>
        </w:rPr>
      </w:pPr>
      <w:r>
        <w:rPr>
          <w:rFonts w:hint="eastAsia" w:ascii="楷体_GB2312" w:hAnsi="Times New Roman" w:eastAsia="楷体_GB2312" w:cs="Times New Roman"/>
          <w:sz w:val="32"/>
          <w:szCs w:val="32"/>
        </w:rPr>
        <w:t>3、一般性支出情况：</w:t>
      </w:r>
      <w:r>
        <w:rPr>
          <w:rFonts w:hint="eastAsia" w:ascii="Times New Roman" w:hAnsi="Times New Roman" w:eastAsia="仿宋_GB2312" w:cs="Times New Roman"/>
          <w:kern w:val="0"/>
          <w:sz w:val="32"/>
          <w:szCs w:val="32"/>
        </w:rPr>
        <w:t>2020年本部门</w:t>
      </w:r>
      <w:r>
        <w:rPr>
          <w:rFonts w:ascii="Times New Roman" w:hAnsi="Times New Roman" w:eastAsia="仿宋_GB2312" w:cs="Times New Roman"/>
          <w:kern w:val="0"/>
          <w:sz w:val="32"/>
          <w:szCs w:val="32"/>
        </w:rPr>
        <w:t>会议</w:t>
      </w:r>
      <w:r>
        <w:rPr>
          <w:rFonts w:hint="eastAsia" w:ascii="Times New Roman" w:hAnsi="Times New Roman" w:eastAsia="仿宋_GB2312" w:cs="Times New Roman"/>
          <w:kern w:val="0"/>
          <w:sz w:val="32"/>
          <w:szCs w:val="32"/>
        </w:rPr>
        <w:t>费预算41万元，拟召开15次会议，人数1000人，内容为全省系统年度工作和党风廉政建设会议及各专项业务工作会议等；培训费预算95.2万元，拟开展11次培训，人数1800人，内容为退役军人各专项工作及业务培训；拟举办等八一双拥晚会1次，</w:t>
      </w:r>
      <w:r>
        <w:rPr>
          <w:rFonts w:ascii="Times New Roman" w:hAnsi="Times New Roman" w:eastAsia="仿宋_GB2312" w:cs="Times New Roman"/>
          <w:kern w:val="0"/>
          <w:sz w:val="32"/>
          <w:szCs w:val="32"/>
        </w:rPr>
        <w:t>经费</w:t>
      </w:r>
      <w:r>
        <w:rPr>
          <w:rFonts w:hint="eastAsia" w:ascii="Times New Roman" w:hAnsi="Times New Roman" w:eastAsia="仿宋_GB2312" w:cs="Times New Roman"/>
          <w:kern w:val="0"/>
          <w:sz w:val="32"/>
          <w:szCs w:val="32"/>
        </w:rPr>
        <w:t>预算20万元。</w:t>
      </w:r>
    </w:p>
    <w:p>
      <w:pPr>
        <w:widowControl/>
        <w:spacing w:line="560" w:lineRule="exact"/>
        <w:ind w:firstLine="66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4</w:t>
      </w:r>
      <w:r>
        <w:rPr>
          <w:rFonts w:ascii="楷体_GB2312" w:hAnsi="Times New Roman" w:eastAsia="楷体_GB2312" w:cs="Times New Roman"/>
          <w:sz w:val="32"/>
          <w:szCs w:val="32"/>
        </w:rPr>
        <w:t>、政府采购情况</w:t>
      </w:r>
      <w:r>
        <w:rPr>
          <w:rFonts w:hint="eastAsia" w:ascii="楷体_GB2312" w:hAnsi="Times New Roman" w:eastAsia="楷体_GB2312" w:cs="Times New Roman"/>
          <w:sz w:val="32"/>
          <w:szCs w:val="32"/>
        </w:rPr>
        <w:t>：</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本部门</w:t>
      </w:r>
      <w:r>
        <w:rPr>
          <w:rFonts w:ascii="Times New Roman" w:hAnsi="Times New Roman" w:eastAsia="仿宋_GB2312" w:cs="Times New Roman"/>
          <w:sz w:val="32"/>
          <w:szCs w:val="32"/>
        </w:rPr>
        <w:t>政府采购预算总额</w:t>
      </w:r>
      <w:r>
        <w:rPr>
          <w:rFonts w:hint="eastAsia" w:ascii="Times New Roman" w:hAnsi="Times New Roman" w:eastAsia="仿宋_GB2312" w:cs="Times New Roman"/>
          <w:sz w:val="32"/>
          <w:szCs w:val="32"/>
        </w:rPr>
        <w:t>1510</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货物采购</w:t>
      </w:r>
      <w:r>
        <w:rPr>
          <w:rFonts w:ascii="Times New Roman" w:hAnsi="Times New Roman" w:eastAsia="仿宋_GB2312" w:cs="Times New Roman"/>
          <w:sz w:val="32"/>
          <w:szCs w:val="32"/>
        </w:rPr>
        <w:t>预算</w:t>
      </w:r>
      <w:r>
        <w:rPr>
          <w:rFonts w:hint="eastAsia" w:ascii="Times New Roman" w:hAnsi="Times New Roman" w:eastAsia="仿宋_GB2312" w:cs="Times New Roman"/>
          <w:sz w:val="32"/>
          <w:szCs w:val="32"/>
        </w:rPr>
        <w:t>850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服务采购</w:t>
      </w:r>
      <w:r>
        <w:rPr>
          <w:rFonts w:ascii="Times New Roman" w:hAnsi="Times New Roman" w:eastAsia="仿宋_GB2312" w:cs="Times New Roman"/>
          <w:sz w:val="32"/>
          <w:szCs w:val="32"/>
        </w:rPr>
        <w:t>预算</w:t>
      </w:r>
      <w:r>
        <w:rPr>
          <w:rFonts w:hint="eastAsia" w:ascii="Times New Roman" w:hAnsi="Times New Roman" w:eastAsia="仿宋_GB2312" w:cs="Times New Roman"/>
          <w:sz w:val="32"/>
          <w:szCs w:val="32"/>
        </w:rPr>
        <w:t>660</w:t>
      </w:r>
      <w:r>
        <w:rPr>
          <w:rFonts w:ascii="Times New Roman" w:hAnsi="Times New Roman" w:eastAsia="仿宋_GB2312" w:cs="Times New Roman"/>
          <w:sz w:val="32"/>
          <w:szCs w:val="32"/>
        </w:rPr>
        <w:t>万元。</w:t>
      </w:r>
    </w:p>
    <w:p>
      <w:pPr>
        <w:widowControl/>
        <w:spacing w:line="560" w:lineRule="exact"/>
        <w:ind w:firstLine="660"/>
        <w:rPr>
          <w:rFonts w:ascii="Times New Roman" w:hAnsi="Times New Roman" w:eastAsia="仿宋_GB2312" w:cs="Times New Roman"/>
          <w:bCs/>
          <w:kern w:val="0"/>
          <w:sz w:val="32"/>
          <w:szCs w:val="32"/>
        </w:rPr>
      </w:pPr>
      <w:r>
        <w:rPr>
          <w:rFonts w:hint="eastAsia" w:ascii="楷体_GB2312" w:hAnsi="Times New Roman" w:eastAsia="楷体_GB2312" w:cs="Times New Roman"/>
          <w:sz w:val="32"/>
          <w:szCs w:val="32"/>
        </w:rPr>
        <w:t>5</w:t>
      </w:r>
      <w:r>
        <w:rPr>
          <w:rFonts w:ascii="楷体_GB2312" w:hAnsi="Times New Roman" w:eastAsia="楷体_GB2312" w:cs="Times New Roman"/>
          <w:sz w:val="32"/>
          <w:szCs w:val="32"/>
        </w:rPr>
        <w:t>、国有资产占用使用</w:t>
      </w:r>
      <w:r>
        <w:rPr>
          <w:rFonts w:hint="eastAsia" w:ascii="楷体_GB2312" w:hAnsi="Times New Roman" w:eastAsia="楷体_GB2312" w:cs="Times New Roman"/>
          <w:sz w:val="32"/>
          <w:szCs w:val="32"/>
        </w:rPr>
        <w:t>及新增资产配置</w:t>
      </w:r>
      <w:r>
        <w:rPr>
          <w:rFonts w:ascii="楷体_GB2312" w:hAnsi="Times New Roman" w:eastAsia="楷体_GB2312" w:cs="Times New Roman"/>
          <w:sz w:val="32"/>
          <w:szCs w:val="32"/>
        </w:rPr>
        <w:t>情况：</w:t>
      </w:r>
      <w:r>
        <w:rPr>
          <w:rFonts w:ascii="Times New Roman" w:hAnsi="Times New Roman" w:eastAsia="仿宋_GB2312" w:cs="Times New Roman"/>
          <w:sz w:val="32"/>
          <w:szCs w:val="32"/>
        </w:rPr>
        <w:t>截至20</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底</w:t>
      </w:r>
      <w:r>
        <w:rPr>
          <w:rFonts w:ascii="Times New Roman" w:hAnsi="Times New Roman" w:eastAsia="仿宋_GB2312" w:cs="Times New Roman"/>
          <w:sz w:val="32"/>
          <w:szCs w:val="32"/>
        </w:rPr>
        <w:t>，</w:t>
      </w:r>
      <w:r>
        <w:rPr>
          <w:rFonts w:ascii="Times New Roman" w:hAnsi="Times New Roman" w:eastAsia="仿宋_GB2312" w:cs="Times New Roman"/>
          <w:bCs/>
          <w:kern w:val="0"/>
          <w:sz w:val="32"/>
          <w:szCs w:val="32"/>
        </w:rPr>
        <w:t>共有车辆</w:t>
      </w:r>
      <w:r>
        <w:rPr>
          <w:rFonts w:hint="eastAsia" w:ascii="Times New Roman" w:hAnsi="Times New Roman" w:eastAsia="仿宋_GB2312" w:cs="Times New Roman"/>
          <w:bCs/>
          <w:kern w:val="0"/>
          <w:sz w:val="32"/>
          <w:szCs w:val="32"/>
        </w:rPr>
        <w:t>13</w:t>
      </w:r>
      <w:r>
        <w:rPr>
          <w:rFonts w:ascii="Times New Roman" w:hAnsi="Times New Roman" w:eastAsia="仿宋_GB2312" w:cs="Times New Roman"/>
          <w:bCs/>
          <w:kern w:val="0"/>
          <w:sz w:val="32"/>
          <w:szCs w:val="32"/>
        </w:rPr>
        <w:t>辆，其中，一般公务用车</w:t>
      </w:r>
      <w:r>
        <w:rPr>
          <w:rFonts w:hint="eastAsia" w:ascii="Times New Roman" w:hAnsi="Times New Roman" w:eastAsia="仿宋_GB2312" w:cs="Times New Roman"/>
          <w:bCs/>
          <w:kern w:val="0"/>
          <w:sz w:val="32"/>
          <w:szCs w:val="32"/>
        </w:rPr>
        <w:t>4</w:t>
      </w:r>
      <w:r>
        <w:rPr>
          <w:rFonts w:ascii="Times New Roman" w:hAnsi="Times New Roman" w:eastAsia="仿宋_GB2312" w:cs="Times New Roman"/>
          <w:bCs/>
          <w:kern w:val="0"/>
          <w:sz w:val="32"/>
          <w:szCs w:val="32"/>
        </w:rPr>
        <w:t>辆，特种专业技术用车</w:t>
      </w:r>
      <w:r>
        <w:rPr>
          <w:rFonts w:hint="eastAsia" w:ascii="Times New Roman" w:hAnsi="Times New Roman" w:eastAsia="仿宋_GB2312" w:cs="Times New Roman"/>
          <w:bCs/>
          <w:kern w:val="0"/>
          <w:sz w:val="32"/>
          <w:szCs w:val="32"/>
        </w:rPr>
        <w:t>4</w:t>
      </w:r>
      <w:r>
        <w:rPr>
          <w:rFonts w:ascii="Times New Roman" w:hAnsi="Times New Roman" w:eastAsia="仿宋_GB2312" w:cs="Times New Roman"/>
          <w:bCs/>
          <w:kern w:val="0"/>
          <w:sz w:val="32"/>
          <w:szCs w:val="32"/>
        </w:rPr>
        <w:t>辆</w:t>
      </w:r>
      <w:r>
        <w:rPr>
          <w:rFonts w:hint="eastAsia" w:ascii="Times New Roman" w:hAnsi="Times New Roman" w:eastAsia="仿宋_GB2312" w:cs="Times New Roman"/>
          <w:bCs/>
          <w:kern w:val="0"/>
          <w:sz w:val="32"/>
          <w:szCs w:val="32"/>
        </w:rPr>
        <w:t>，其他车辆5辆</w:t>
      </w:r>
      <w:r>
        <w:rPr>
          <w:rFonts w:ascii="Times New Roman" w:hAnsi="Times New Roman" w:eastAsia="仿宋_GB2312" w:cs="Times New Roman"/>
          <w:bCs/>
          <w:kern w:val="0"/>
          <w:sz w:val="32"/>
          <w:szCs w:val="32"/>
        </w:rPr>
        <w:t>。单位价值50万元以上通用设备</w:t>
      </w:r>
      <w:r>
        <w:rPr>
          <w:rFonts w:hint="eastAsia" w:ascii="Times New Roman" w:hAnsi="Times New Roman" w:eastAsia="仿宋_GB2312" w:cs="Times New Roman"/>
          <w:bCs/>
          <w:kern w:val="0"/>
          <w:sz w:val="32"/>
          <w:szCs w:val="32"/>
        </w:rPr>
        <w:t>4</w:t>
      </w:r>
      <w:r>
        <w:rPr>
          <w:rFonts w:ascii="Times New Roman" w:hAnsi="Times New Roman" w:eastAsia="仿宋_GB2312" w:cs="Times New Roman"/>
          <w:bCs/>
          <w:kern w:val="0"/>
          <w:sz w:val="32"/>
          <w:szCs w:val="32"/>
        </w:rPr>
        <w:t>台，单位价值100万元以上专用设备</w:t>
      </w:r>
      <w:r>
        <w:rPr>
          <w:rFonts w:hint="eastAsia" w:ascii="Times New Roman" w:hAnsi="Times New Roman" w:eastAsia="仿宋_GB2312" w:cs="Times New Roman"/>
          <w:bCs/>
          <w:kern w:val="0"/>
          <w:sz w:val="32"/>
          <w:szCs w:val="32"/>
        </w:rPr>
        <w:t>8</w:t>
      </w:r>
      <w:r>
        <w:rPr>
          <w:rFonts w:ascii="Times New Roman" w:hAnsi="Times New Roman" w:eastAsia="仿宋_GB2312" w:cs="Times New Roman"/>
          <w:bCs/>
          <w:kern w:val="0"/>
          <w:sz w:val="32"/>
          <w:szCs w:val="32"/>
        </w:rPr>
        <w:t>台。</w:t>
      </w:r>
      <w:r>
        <w:rPr>
          <w:rFonts w:hint="eastAsia" w:ascii="Times New Roman" w:hAnsi="Times New Roman" w:eastAsia="仿宋_GB2312" w:cs="Times New Roman"/>
          <w:bCs/>
          <w:kern w:val="0"/>
          <w:sz w:val="32"/>
          <w:szCs w:val="32"/>
        </w:rPr>
        <w:t>2020年拟新增配置公务用车2辆，</w:t>
      </w:r>
      <w:r>
        <w:rPr>
          <w:rFonts w:ascii="Times New Roman" w:hAnsi="Times New Roman" w:eastAsia="仿宋_GB2312" w:cs="Times New Roman"/>
          <w:bCs/>
          <w:kern w:val="0"/>
          <w:sz w:val="32"/>
          <w:szCs w:val="32"/>
        </w:rPr>
        <w:t>其中，一般公务用车</w:t>
      </w:r>
      <w:r>
        <w:rPr>
          <w:rFonts w:hint="eastAsia" w:ascii="Times New Roman" w:hAnsi="Times New Roman" w:eastAsia="仿宋_GB2312" w:cs="Times New Roman"/>
          <w:bCs/>
          <w:kern w:val="0"/>
          <w:sz w:val="32"/>
          <w:szCs w:val="32"/>
        </w:rPr>
        <w:t>2</w:t>
      </w:r>
      <w:r>
        <w:rPr>
          <w:rFonts w:ascii="Times New Roman" w:hAnsi="Times New Roman" w:eastAsia="仿宋_GB2312" w:cs="Times New Roman"/>
          <w:bCs/>
          <w:kern w:val="0"/>
          <w:sz w:val="32"/>
          <w:szCs w:val="32"/>
        </w:rPr>
        <w:t>辆。</w:t>
      </w:r>
    </w:p>
    <w:p>
      <w:pPr>
        <w:widowControl/>
        <w:spacing w:line="560" w:lineRule="exact"/>
        <w:ind w:firstLine="660"/>
        <w:rPr>
          <w:rFonts w:ascii="Times New Roman" w:hAnsi="Times New Roman" w:eastAsia="仿宋_GB2312" w:cs="Times New Roman"/>
          <w:bCs/>
          <w:kern w:val="0"/>
          <w:sz w:val="32"/>
          <w:szCs w:val="32"/>
        </w:rPr>
      </w:pPr>
      <w:r>
        <w:rPr>
          <w:rFonts w:hint="eastAsia" w:ascii="楷体_GB2312" w:hAnsi="Times New Roman" w:eastAsia="楷体_GB2312" w:cs="Times New Roman"/>
          <w:sz w:val="32"/>
          <w:szCs w:val="32"/>
        </w:rPr>
        <w:t>6</w:t>
      </w:r>
      <w:r>
        <w:rPr>
          <w:rFonts w:ascii="楷体_GB2312" w:hAnsi="Times New Roman" w:eastAsia="楷体_GB2312" w:cs="Times New Roman"/>
          <w:sz w:val="32"/>
          <w:szCs w:val="32"/>
        </w:rPr>
        <w:t>、预算绩效目标说明：</w:t>
      </w:r>
      <w:r>
        <w:rPr>
          <w:rFonts w:ascii="Times New Roman" w:hAnsi="Times New Roman" w:eastAsia="仿宋_GB2312" w:cs="Times New Roman"/>
          <w:bCs/>
          <w:kern w:val="0"/>
          <w:sz w:val="32"/>
          <w:szCs w:val="32"/>
        </w:rPr>
        <w:t>本部门整体支出和项目支出实行绩效目标管理，纳入</w:t>
      </w:r>
      <w:r>
        <w:rPr>
          <w:rFonts w:hint="eastAsia" w:ascii="Times New Roman" w:hAnsi="Times New Roman" w:eastAsia="仿宋_GB2312" w:cs="Times New Roman"/>
          <w:bCs/>
          <w:kern w:val="0"/>
          <w:sz w:val="32"/>
          <w:szCs w:val="32"/>
        </w:rPr>
        <w:t>2020年</w:t>
      </w:r>
      <w:r>
        <w:rPr>
          <w:rFonts w:ascii="Times New Roman" w:hAnsi="Times New Roman" w:eastAsia="仿宋_GB2312" w:cs="Times New Roman"/>
          <w:bCs/>
          <w:kern w:val="0"/>
          <w:sz w:val="32"/>
          <w:szCs w:val="32"/>
        </w:rPr>
        <w:t>部门整体支出绩效目标的金额为</w:t>
      </w:r>
      <w:r>
        <w:rPr>
          <w:rFonts w:hint="eastAsia" w:ascii="Times New Roman" w:hAnsi="Times New Roman" w:eastAsia="仿宋_GB2312" w:cs="Times New Roman"/>
          <w:bCs/>
          <w:kern w:val="0"/>
          <w:sz w:val="32"/>
          <w:szCs w:val="32"/>
        </w:rPr>
        <w:t>11604.44</w:t>
      </w:r>
      <w:r>
        <w:rPr>
          <w:rFonts w:ascii="Times New Roman" w:hAnsi="Times New Roman" w:eastAsia="仿宋_GB2312" w:cs="Times New Roman"/>
          <w:bCs/>
          <w:kern w:val="0"/>
          <w:sz w:val="32"/>
          <w:szCs w:val="32"/>
        </w:rPr>
        <w:t>万元，其中，基本支出</w:t>
      </w:r>
      <w:r>
        <w:rPr>
          <w:rFonts w:hint="eastAsia" w:ascii="Times New Roman" w:hAnsi="Times New Roman" w:eastAsia="仿宋_GB2312" w:cs="Times New Roman"/>
          <w:bCs/>
          <w:kern w:val="0"/>
          <w:sz w:val="32"/>
          <w:szCs w:val="32"/>
        </w:rPr>
        <w:t>3363.64</w:t>
      </w:r>
      <w:r>
        <w:rPr>
          <w:rFonts w:ascii="Times New Roman" w:hAnsi="Times New Roman" w:eastAsia="仿宋_GB2312" w:cs="Times New Roman"/>
          <w:bCs/>
          <w:kern w:val="0"/>
          <w:sz w:val="32"/>
          <w:szCs w:val="32"/>
        </w:rPr>
        <w:t>万元，项目支出</w:t>
      </w:r>
      <w:r>
        <w:rPr>
          <w:rFonts w:hint="eastAsia" w:ascii="Times New Roman" w:hAnsi="Times New Roman" w:eastAsia="仿宋_GB2312" w:cs="Times New Roman"/>
          <w:bCs/>
          <w:kern w:val="0"/>
          <w:sz w:val="32"/>
          <w:szCs w:val="32"/>
        </w:rPr>
        <w:t>2209.8</w:t>
      </w:r>
      <w:r>
        <w:rPr>
          <w:rFonts w:ascii="Times New Roman" w:hAnsi="Times New Roman" w:eastAsia="仿宋_GB2312" w:cs="Times New Roman"/>
          <w:bCs/>
          <w:kern w:val="0"/>
          <w:sz w:val="32"/>
          <w:szCs w:val="32"/>
        </w:rPr>
        <w:t>万元</w:t>
      </w:r>
      <w:r>
        <w:rPr>
          <w:rFonts w:hint="eastAsia" w:ascii="Times New Roman" w:hAnsi="Times New Roman" w:eastAsia="仿宋_GB2312" w:cs="Times New Roman"/>
          <w:bCs/>
          <w:kern w:val="0"/>
          <w:sz w:val="32"/>
          <w:szCs w:val="32"/>
        </w:rPr>
        <w:t>，事业单位经营服务支出6031万元</w:t>
      </w:r>
      <w:r>
        <w:rPr>
          <w:rFonts w:ascii="Times New Roman" w:hAnsi="Times New Roman" w:eastAsia="仿宋_GB2312" w:cs="Times New Roman"/>
          <w:bCs/>
          <w:kern w:val="0"/>
          <w:sz w:val="32"/>
          <w:szCs w:val="32"/>
        </w:rPr>
        <w:t>。</w:t>
      </w:r>
    </w:p>
    <w:p>
      <w:pPr>
        <w:widowControl/>
        <w:spacing w:line="560" w:lineRule="exact"/>
        <w:ind w:firstLine="66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、名词解释</w:t>
      </w:r>
    </w:p>
    <w:p>
      <w:pPr>
        <w:widowControl/>
        <w:spacing w:line="560" w:lineRule="exact"/>
        <w:ind w:firstLine="660"/>
        <w:rPr>
          <w:rFonts w:ascii="Times New Roman" w:hAnsi="Times New Roman" w:eastAsia="仿宋_GB2312" w:cs="Times New Roman"/>
          <w:sz w:val="32"/>
          <w:szCs w:val="32"/>
        </w:rPr>
      </w:pPr>
      <w:r>
        <w:rPr>
          <w:rFonts w:ascii="楷体_GB2312" w:hAnsi="Times New Roman" w:eastAsia="楷体_GB2312" w:cs="Times New Roman"/>
          <w:sz w:val="32"/>
          <w:szCs w:val="32"/>
        </w:rPr>
        <w:t>1、机关运行经费：</w:t>
      </w:r>
      <w:r>
        <w:rPr>
          <w:rFonts w:ascii="Times New Roman" w:hAnsi="Times New Roman" w:eastAsia="仿宋_GB2312" w:cs="Times New Roman"/>
          <w:sz w:val="32"/>
          <w:szCs w:val="32"/>
        </w:rPr>
        <w:t>是指</w:t>
      </w:r>
      <w:r>
        <w:rPr>
          <w:rFonts w:hint="eastAsia" w:ascii="Times New Roman" w:hAnsi="Times New Roman" w:eastAsia="仿宋_GB2312" w:cs="Times New Roman"/>
          <w:sz w:val="32"/>
          <w:szCs w:val="32"/>
        </w:rPr>
        <w:t>各部门的公用经费，包括</w:t>
      </w:r>
      <w:r>
        <w:rPr>
          <w:rFonts w:ascii="Times New Roman" w:hAnsi="Times New Roman" w:eastAsia="仿宋_GB2312" w:cs="Times New Roman"/>
          <w:sz w:val="32"/>
          <w:szCs w:val="32"/>
        </w:rPr>
        <w:t>办公及印刷费、邮电费、差旅费、会议费、福利费、日常维修费、专用资料及一般设备购置费、办公用房水电费、办公用房取暖费、办公用房物业管理费、公务用车运行维护费以及其他费用。</w:t>
      </w:r>
    </w:p>
    <w:p>
      <w:pPr>
        <w:widowControl/>
        <w:spacing w:line="560" w:lineRule="exact"/>
        <w:ind w:firstLine="660"/>
        <w:rPr>
          <w:rFonts w:ascii="Times New Roman" w:hAnsi="Times New Roman" w:eastAsia="仿宋_GB2312" w:cs="Times New Roman"/>
          <w:sz w:val="32"/>
          <w:szCs w:val="32"/>
        </w:rPr>
      </w:pPr>
      <w:r>
        <w:rPr>
          <w:rFonts w:ascii="楷体_GB2312" w:hAnsi="Times New Roman" w:eastAsia="楷体_GB2312" w:cs="Times New Roman"/>
          <w:sz w:val="32"/>
          <w:szCs w:val="32"/>
        </w:rPr>
        <w:t>2、“三公”经费：</w:t>
      </w:r>
      <w:r>
        <w:rPr>
          <w:rFonts w:ascii="Times New Roman" w:hAnsi="Times New Roman" w:eastAsia="仿宋_GB2312" w:cs="Times New Roman"/>
          <w:sz w:val="32"/>
          <w:szCs w:val="32"/>
        </w:rPr>
        <w:t>纳入省</w:t>
      </w:r>
      <w:r>
        <w:rPr>
          <w:rFonts w:hint="eastAsia" w:ascii="Times New Roman" w:hAnsi="Times New Roman" w:eastAsia="仿宋_GB2312" w:cs="Times New Roman"/>
          <w:sz w:val="32"/>
          <w:szCs w:val="32"/>
        </w:rPr>
        <w:t>（市/县）</w:t>
      </w:r>
      <w:r>
        <w:rPr>
          <w:rFonts w:ascii="Times New Roman" w:hAnsi="Times New Roman" w:eastAsia="仿宋_GB2312" w:cs="Times New Roman"/>
          <w:sz w:val="32"/>
          <w:szCs w:val="32"/>
        </w:rPr>
        <w:t>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w:t>
      </w:r>
      <w:r>
        <w:rPr>
          <w:rFonts w:hint="eastAsia" w:ascii="Times New Roman" w:hAnsi="Times New Roman" w:eastAsia="仿宋_GB2312" w:cs="Times New Roman"/>
          <w:sz w:val="32"/>
          <w:szCs w:val="32"/>
        </w:rPr>
        <w:t>住宿费、伙食费、培训费、公杂费等</w:t>
      </w:r>
      <w:r>
        <w:rPr>
          <w:rFonts w:ascii="Times New Roman" w:hAnsi="Times New Roman" w:eastAsia="仿宋_GB2312" w:cs="Times New Roman"/>
          <w:sz w:val="32"/>
          <w:szCs w:val="32"/>
        </w:rPr>
        <w:t>等支出。</w:t>
      </w:r>
    </w:p>
    <w:p>
      <w:pPr>
        <w:widowControl/>
        <w:spacing w:line="560" w:lineRule="exact"/>
        <w:ind w:firstLine="636" w:firstLineChars="200"/>
        <w:jc w:val="left"/>
        <w:rPr>
          <w:rFonts w:ascii="Times New Roman" w:hAnsi="Times New Roman" w:eastAsia="仿宋_GB2312" w:cs="Times New Roman"/>
          <w:b/>
          <w:bCs/>
          <w:kern w:val="0"/>
          <w:sz w:val="32"/>
          <w:szCs w:val="32"/>
        </w:rPr>
      </w:pPr>
    </w:p>
    <w:p>
      <w:pPr>
        <w:widowControl/>
        <w:spacing w:line="560" w:lineRule="exact"/>
        <w:ind w:firstLine="716" w:firstLineChars="200"/>
        <w:jc w:val="center"/>
        <w:rPr>
          <w:rFonts w:ascii="方正小标宋简体" w:hAnsi="Times New Roman" w:eastAsia="方正小标宋简体" w:cs="Times New Roman"/>
          <w:bCs/>
          <w:kern w:val="0"/>
          <w:sz w:val="36"/>
          <w:szCs w:val="36"/>
        </w:rPr>
      </w:pPr>
      <w:r>
        <w:rPr>
          <w:rFonts w:ascii="方正小标宋简体" w:hAnsi="Times New Roman" w:eastAsia="方正小标宋简体" w:cs="Times New Roman"/>
          <w:bCs/>
          <w:kern w:val="0"/>
          <w:sz w:val="36"/>
          <w:szCs w:val="36"/>
        </w:rPr>
        <w:t>第二部分</w:t>
      </w:r>
      <w:r>
        <w:rPr>
          <w:rFonts w:hint="eastAsia" w:ascii="方正小标宋简体" w:hAnsi="Times New Roman" w:eastAsia="方正小标宋简体" w:cs="Times New Roman"/>
          <w:bCs/>
          <w:kern w:val="0"/>
          <w:sz w:val="36"/>
          <w:szCs w:val="36"/>
        </w:rPr>
        <w:t xml:space="preserve"> </w:t>
      </w:r>
      <w:r>
        <w:rPr>
          <w:rFonts w:ascii="方正小标宋简体" w:hAnsi="Times New Roman" w:eastAsia="方正小标宋简体" w:cs="Times New Roman"/>
          <w:bCs/>
          <w:kern w:val="0"/>
          <w:sz w:val="36"/>
          <w:szCs w:val="36"/>
        </w:rPr>
        <w:t xml:space="preserve"> 2020年部门预算表</w:t>
      </w:r>
    </w:p>
    <w:p>
      <w:pPr>
        <w:widowControl/>
        <w:spacing w:line="560" w:lineRule="exact"/>
        <w:ind w:firstLine="636" w:firstLineChars="200"/>
        <w:jc w:val="left"/>
        <w:rPr>
          <w:rFonts w:ascii="Times New Roman" w:hAnsi="Times New Roman" w:eastAsia="仿宋_GB2312" w:cs="Times New Roman"/>
          <w:sz w:val="32"/>
          <w:szCs w:val="32"/>
        </w:rPr>
      </w:pP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1、部门收支总体情况表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2、部门收入总体情况表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3、部门支出总体情况表</w:t>
      </w:r>
      <w:bookmarkStart w:id="0" w:name="_GoBack"/>
      <w:bookmarkEnd w:id="0"/>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4、部门支出总表（按部门预算经济分类）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5、部门支出总表（按政府预算经济分类）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6、省级基本支出预算明细表-工资福利支出（按部门预算经济分类）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7、省级基本支出预算明细表-工资福利支出（按政府预算经济分类）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8、省级基本支出预算明细表-商品和服务支出（按部门预算经济分类）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9、省级基本支出预算明细表-商品和服务支出（按政府预算经济分类）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10、省级基本支出预算明细表-对个人和家庭的补助（按部门预算经济分类）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11、省级基本支出预算明细表-对个人和家庭的补助（按政府预算经济分类）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12、财政拨款收支总体情况表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13、一般公共预算支出情况表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14、一般公共预算基本支出情况表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15、一般公共预算省级基本支出预算明细表-工资福利支出（按部门预算经济分类）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16、一般公共预算省级基本支出预算明细表-工资福利支出（按政府预算经济分类）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17、一般公共预算省级基本支出预算明细表-商品和服务支出（按部门预算经济分类）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18、一般公共预算省级基本支出预算明细表-商品和服务支出（按政府预算经济分类）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19、一般公共预算省级基本支出预算明细表-对个人和家庭的补助（按部门预算经济分类）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20、一般公共预算省级基本支出预算明细表-对个人和家庭的补助（按政府预算经济分类）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21、政府性基金预算支出情况表（按部门预算经济分类）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22、政府性基金预算支出情况表（按政府预算经济分类）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23、纳入专户管理的非税收入拨款预算分类汇总表（按部门预算经济分类）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24、纳入专户管理的非税收入拨款预算分类汇总表（按政府预算经济分类）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25、一般公共预算拨款--经费拨款预算表（按部门预算经济分类）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26、一般公共预算拨款--经费拨款预算表（按政府预算经济分类）</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27、省级专项资金预算汇总表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28、一般公共预算“三公”经费预算表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29、项目支出绩效目标表</w:t>
      </w:r>
    </w:p>
    <w:p>
      <w:pPr>
        <w:widowControl/>
        <w:spacing w:line="560" w:lineRule="exact"/>
        <w:ind w:firstLine="63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30、整体支出绩效目标表</w:t>
      </w:r>
    </w:p>
    <w:p>
      <w:pPr>
        <w:widowControl/>
        <w:spacing w:line="560" w:lineRule="exact"/>
        <w:ind w:firstLine="636" w:firstLineChars="200"/>
        <w:rPr>
          <w:rFonts w:ascii="Times New Roman" w:hAnsi="Times New Roman" w:eastAsia="仿宋_GB2312" w:cs="Times New Roman"/>
          <w:bCs/>
          <w:kern w:val="0"/>
          <w:sz w:val="32"/>
          <w:szCs w:val="32"/>
        </w:rPr>
      </w:pPr>
    </w:p>
    <w:p>
      <w:pPr>
        <w:widowControl/>
        <w:spacing w:line="560" w:lineRule="exact"/>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附件：省退役军人事务厅2020年部门预算公开表</w:t>
      </w:r>
    </w:p>
    <w:p>
      <w:pPr>
        <w:widowControl/>
        <w:spacing w:line="600" w:lineRule="exact"/>
        <w:rPr>
          <w:rFonts w:ascii="Times New Roman" w:hAnsi="Times New Roman" w:eastAsia="仿宋_GB2312" w:cs="Times New Roman"/>
          <w:bCs/>
          <w:kern w:val="0"/>
          <w:sz w:val="32"/>
          <w:szCs w:val="32"/>
        </w:rPr>
      </w:pPr>
    </w:p>
    <w:p>
      <w:pPr>
        <w:widowControl/>
        <w:spacing w:line="600" w:lineRule="exact"/>
        <w:rPr>
          <w:rFonts w:ascii="Times New Roman" w:hAnsi="Times New Roman" w:eastAsia="仿宋_GB2312" w:cs="Times New Roman"/>
          <w:bCs/>
          <w:kern w:val="0"/>
          <w:sz w:val="32"/>
          <w:szCs w:val="32"/>
        </w:rPr>
      </w:pPr>
    </w:p>
    <w:sectPr>
      <w:footerReference r:id="rId3" w:type="default"/>
      <w:footerReference r:id="rId4" w:type="even"/>
      <w:pgSz w:w="11907" w:h="16840"/>
      <w:pgMar w:top="2098" w:right="1247" w:bottom="1418" w:left="1588" w:header="851" w:footer="992" w:gutter="0"/>
      <w:cols w:space="425" w:num="1"/>
      <w:docGrid w:type="linesAndChars" w:linePitch="495" w:charSpace="-5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C11DF"/>
    <w:multiLevelType w:val="singleLevel"/>
    <w:tmpl w:val="A21C11DF"/>
    <w:lvl w:ilvl="0" w:tentative="0">
      <w:start w:val="1"/>
      <w:numFmt w:val="chineseCounting"/>
      <w:suff w:val="space"/>
      <w:lvlText w:val="第%1部分"/>
      <w:lvlJc w:val="left"/>
      <w:pPr>
        <w:ind w:left="65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207"/>
  <w:drawingGridVerticalSpacing w:val="4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45CE"/>
    <w:rsid w:val="00016510"/>
    <w:rsid w:val="000321DE"/>
    <w:rsid w:val="000677BC"/>
    <w:rsid w:val="000A23CD"/>
    <w:rsid w:val="000A6C82"/>
    <w:rsid w:val="000C3529"/>
    <w:rsid w:val="000C4243"/>
    <w:rsid w:val="0010038D"/>
    <w:rsid w:val="00116257"/>
    <w:rsid w:val="001446ED"/>
    <w:rsid w:val="00146D62"/>
    <w:rsid w:val="00156AB3"/>
    <w:rsid w:val="00162D08"/>
    <w:rsid w:val="00177AC0"/>
    <w:rsid w:val="00211BC1"/>
    <w:rsid w:val="0021357A"/>
    <w:rsid w:val="00232FBF"/>
    <w:rsid w:val="00264FC2"/>
    <w:rsid w:val="00287E1E"/>
    <w:rsid w:val="00290E04"/>
    <w:rsid w:val="00296037"/>
    <w:rsid w:val="002A2350"/>
    <w:rsid w:val="002A3E11"/>
    <w:rsid w:val="002E616B"/>
    <w:rsid w:val="0031030D"/>
    <w:rsid w:val="00314DC3"/>
    <w:rsid w:val="003165C5"/>
    <w:rsid w:val="00334684"/>
    <w:rsid w:val="00344629"/>
    <w:rsid w:val="003460D9"/>
    <w:rsid w:val="00357744"/>
    <w:rsid w:val="0036553E"/>
    <w:rsid w:val="003B59F6"/>
    <w:rsid w:val="003D285D"/>
    <w:rsid w:val="003E5129"/>
    <w:rsid w:val="00411031"/>
    <w:rsid w:val="0044190A"/>
    <w:rsid w:val="004430C7"/>
    <w:rsid w:val="00444161"/>
    <w:rsid w:val="00451154"/>
    <w:rsid w:val="004919D6"/>
    <w:rsid w:val="00494B46"/>
    <w:rsid w:val="004D7B26"/>
    <w:rsid w:val="004E34FA"/>
    <w:rsid w:val="004F546C"/>
    <w:rsid w:val="0050072E"/>
    <w:rsid w:val="00501B84"/>
    <w:rsid w:val="0050563A"/>
    <w:rsid w:val="0050755D"/>
    <w:rsid w:val="00533BB9"/>
    <w:rsid w:val="00547721"/>
    <w:rsid w:val="00555855"/>
    <w:rsid w:val="005710C9"/>
    <w:rsid w:val="00574D3D"/>
    <w:rsid w:val="005900D1"/>
    <w:rsid w:val="005A7CEB"/>
    <w:rsid w:val="005C1407"/>
    <w:rsid w:val="005E5ADC"/>
    <w:rsid w:val="005F308E"/>
    <w:rsid w:val="00614D1A"/>
    <w:rsid w:val="0064434F"/>
    <w:rsid w:val="00656387"/>
    <w:rsid w:val="006607DE"/>
    <w:rsid w:val="006609F9"/>
    <w:rsid w:val="006620F3"/>
    <w:rsid w:val="006714E3"/>
    <w:rsid w:val="00680F02"/>
    <w:rsid w:val="006B63B8"/>
    <w:rsid w:val="006F53D8"/>
    <w:rsid w:val="007103DD"/>
    <w:rsid w:val="00710A1C"/>
    <w:rsid w:val="0072313F"/>
    <w:rsid w:val="00767B55"/>
    <w:rsid w:val="00782AED"/>
    <w:rsid w:val="00786597"/>
    <w:rsid w:val="007A1E6E"/>
    <w:rsid w:val="007A6C7B"/>
    <w:rsid w:val="007C1D69"/>
    <w:rsid w:val="007C51A4"/>
    <w:rsid w:val="007D45CE"/>
    <w:rsid w:val="007D473D"/>
    <w:rsid w:val="00830014"/>
    <w:rsid w:val="00885704"/>
    <w:rsid w:val="00891F73"/>
    <w:rsid w:val="008A63A4"/>
    <w:rsid w:val="008B59EB"/>
    <w:rsid w:val="008D426B"/>
    <w:rsid w:val="008D4901"/>
    <w:rsid w:val="008F76CD"/>
    <w:rsid w:val="00906F0C"/>
    <w:rsid w:val="00917EAC"/>
    <w:rsid w:val="0092794C"/>
    <w:rsid w:val="00966552"/>
    <w:rsid w:val="00992776"/>
    <w:rsid w:val="009927D5"/>
    <w:rsid w:val="009A0F5F"/>
    <w:rsid w:val="009C07FB"/>
    <w:rsid w:val="009C45FD"/>
    <w:rsid w:val="009C55D8"/>
    <w:rsid w:val="009D51A7"/>
    <w:rsid w:val="009F48D6"/>
    <w:rsid w:val="00A27497"/>
    <w:rsid w:val="00A6278E"/>
    <w:rsid w:val="00A6335A"/>
    <w:rsid w:val="00A64B3E"/>
    <w:rsid w:val="00A64BCC"/>
    <w:rsid w:val="00A80657"/>
    <w:rsid w:val="00AB2F21"/>
    <w:rsid w:val="00B03D88"/>
    <w:rsid w:val="00B43D69"/>
    <w:rsid w:val="00B563E3"/>
    <w:rsid w:val="00BB0F08"/>
    <w:rsid w:val="00BD6C71"/>
    <w:rsid w:val="00BF6294"/>
    <w:rsid w:val="00C20F9B"/>
    <w:rsid w:val="00C365D3"/>
    <w:rsid w:val="00C47289"/>
    <w:rsid w:val="00C5314E"/>
    <w:rsid w:val="00C9462C"/>
    <w:rsid w:val="00CA42E3"/>
    <w:rsid w:val="00CC50F8"/>
    <w:rsid w:val="00CD4C9B"/>
    <w:rsid w:val="00CD70B2"/>
    <w:rsid w:val="00CF2448"/>
    <w:rsid w:val="00D113A0"/>
    <w:rsid w:val="00D80F66"/>
    <w:rsid w:val="00DA28C0"/>
    <w:rsid w:val="00DA4352"/>
    <w:rsid w:val="00DB27E8"/>
    <w:rsid w:val="00DB5D47"/>
    <w:rsid w:val="00DE4640"/>
    <w:rsid w:val="00E11380"/>
    <w:rsid w:val="00E92D7E"/>
    <w:rsid w:val="00E96D86"/>
    <w:rsid w:val="00EA5542"/>
    <w:rsid w:val="00EA6E34"/>
    <w:rsid w:val="00ED51EF"/>
    <w:rsid w:val="00F11567"/>
    <w:rsid w:val="00F22EFD"/>
    <w:rsid w:val="00F371B3"/>
    <w:rsid w:val="00F41EE0"/>
    <w:rsid w:val="00F85926"/>
    <w:rsid w:val="00FD3A43"/>
    <w:rsid w:val="00FE0A74"/>
    <w:rsid w:val="2D693F9F"/>
    <w:rsid w:val="423F6E40"/>
    <w:rsid w:val="47451AA4"/>
    <w:rsid w:val="4C905E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 w:type="character" w:customStyle="1" w:styleId="8">
    <w:name w:val="页脚 Char"/>
    <w:basedOn w:val="6"/>
    <w:link w:val="2"/>
    <w:uiPriority w:val="0"/>
    <w:rPr>
      <w:rFonts w:ascii="Times New Roman" w:hAnsi="Times New Roman" w:eastAsia="宋体" w:cs="Times New Roman"/>
      <w:sz w:val="18"/>
      <w:szCs w:val="18"/>
    </w:rPr>
  </w:style>
  <w:style w:type="character" w:customStyle="1" w:styleId="9">
    <w:name w:val="页眉 Char"/>
    <w:basedOn w:val="6"/>
    <w:link w:val="3"/>
    <w:semiHidden/>
    <w:uiPriority w:val="99"/>
    <w:rPr>
      <w:sz w:val="18"/>
      <w:szCs w:val="18"/>
    </w:rPr>
  </w:style>
  <w:style w:type="character" w:customStyle="1" w:styleId="10">
    <w:name w:val="bjh-p"/>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513</Words>
  <Characters>2926</Characters>
  <Lines>24</Lines>
  <Paragraphs>6</Paragraphs>
  <TotalTime>39</TotalTime>
  <ScaleCrop>false</ScaleCrop>
  <LinksUpToDate>false</LinksUpToDate>
  <CharactersWithSpaces>3433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2020-02-24T09:25:00Z</dcterms:created>
  <dc:creator>严德勇 null</dc:creator>
  <cp:lastModifiedBy>Administrator</cp:lastModifiedBy>
  <cp:lastPrinted>2020-02-25T02:11:00Z</cp:lastPrinted>
  <dcterms:modified xsi:type="dcterms:W3CDTF">2021-06-28T01:10:56Z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6C3F6F9C9D2244A1BA35178C1A598158</vt:lpwstr>
  </property>
</Properties>
</file>