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F86D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Times New Roman" w:hAnsi="Times New Roman" w:eastAsia="方正黑体_GBK" w:cs="方正黑体_GBK"/>
          <w:b w:val="0"/>
          <w:bCs w:val="0"/>
          <w:spacing w:val="0"/>
          <w:sz w:val="32"/>
          <w:szCs w:val="32"/>
          <w:lang w:val="en-US" w:eastAsia="zh-CN"/>
        </w:rPr>
      </w:pPr>
      <w:r>
        <w:rPr>
          <w:rFonts w:hint="eastAsia" w:ascii="Times New Roman" w:hAnsi="Times New Roman" w:eastAsia="方正黑体_GBK" w:cs="方正黑体_GBK"/>
          <w:b w:val="0"/>
          <w:bCs w:val="0"/>
          <w:spacing w:val="0"/>
          <w:sz w:val="32"/>
          <w:szCs w:val="32"/>
          <w:lang w:val="en-US" w:eastAsia="zh-CN"/>
        </w:rPr>
        <w:t>附件1</w:t>
      </w:r>
    </w:p>
    <w:p w14:paraId="2CB32553">
      <w:pPr>
        <w:pStyle w:val="3"/>
        <w:keepNext w:val="0"/>
        <w:keepLines w:val="0"/>
        <w:pageBreakBefore w:val="0"/>
        <w:widowControl w:val="0"/>
        <w:kinsoku/>
        <w:wordWrap/>
        <w:overflowPunct/>
        <w:topLinePunct w:val="0"/>
        <w:autoSpaceDE/>
        <w:autoSpaceDN/>
        <w:bidi w:val="0"/>
        <w:adjustRightInd/>
        <w:snapToGrid/>
        <w:spacing w:before="0" w:beforeAutospacing="0" w:line="300" w:lineRule="exact"/>
        <w:textAlignment w:val="auto"/>
        <w:rPr>
          <w:rFonts w:hint="default" w:ascii="Times New Roman" w:hAnsi="Times New Roman"/>
          <w:b/>
          <w:bCs/>
          <w:spacing w:val="0"/>
          <w:lang w:val="en-US" w:eastAsia="zh-CN"/>
        </w:rPr>
      </w:pPr>
    </w:p>
    <w:p w14:paraId="14CCC364">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eastAsia" w:ascii="Times New Roman" w:hAnsi="Times New Roman" w:eastAsia="方正小标宋_GBK" w:cs="方正小标宋_GBK"/>
          <w:b w:val="0"/>
          <w:bCs w:val="0"/>
          <w:color w:val="000000"/>
          <w:spacing w:val="0"/>
          <w:sz w:val="44"/>
          <w:szCs w:val="44"/>
          <w:lang w:val="en-US" w:eastAsia="zh-CN"/>
        </w:rPr>
      </w:pPr>
      <w:r>
        <w:rPr>
          <w:rFonts w:hint="eastAsia" w:ascii="Times New Roman" w:hAnsi="Times New Roman" w:eastAsia="方正小标宋_GBK" w:cs="方正小标宋_GBK"/>
          <w:b w:val="0"/>
          <w:bCs w:val="0"/>
          <w:color w:val="000000"/>
          <w:spacing w:val="0"/>
          <w:sz w:val="44"/>
          <w:szCs w:val="44"/>
          <w:lang w:val="en-US" w:eastAsia="zh-CN"/>
        </w:rPr>
        <w:t>继续有效的政策文件目录</w:t>
      </w:r>
    </w:p>
    <w:tbl>
      <w:tblPr>
        <w:tblStyle w:val="4"/>
        <w:tblW w:w="517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8"/>
        <w:gridCol w:w="10542"/>
        <w:gridCol w:w="3389"/>
      </w:tblGrid>
      <w:tr w14:paraId="08AE897E">
        <w:trPr>
          <w:trHeight w:val="539" w:hRule="atLeast"/>
          <w:tblHeader/>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944B5FB">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黑体_GBK" w:cs="方正黑体_GBK"/>
                <w:b w:val="0"/>
                <w:bCs w:val="0"/>
                <w:i w:val="0"/>
                <w:iCs w:val="0"/>
                <w:color w:val="000000"/>
                <w:spacing w:val="0"/>
                <w:sz w:val="24"/>
                <w:szCs w:val="24"/>
                <w:u w:val="none"/>
              </w:rPr>
            </w:pPr>
            <w: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t>序号</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3D98D25F">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黑体_GBK" w:cs="方正黑体_GBK"/>
                <w:b w:val="0"/>
                <w:bCs w:val="0"/>
                <w:i w:val="0"/>
                <w:iCs w:val="0"/>
                <w:color w:val="000000"/>
                <w:spacing w:val="0"/>
                <w:sz w:val="24"/>
                <w:szCs w:val="24"/>
                <w:u w:val="none"/>
              </w:rPr>
            </w:pPr>
            <w: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t>文件名称</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4814362F">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黑体_GBK" w:cs="方正黑体_GBK"/>
                <w:b w:val="0"/>
                <w:bCs w:val="0"/>
                <w:i w:val="0"/>
                <w:iCs w:val="0"/>
                <w:color w:val="000000"/>
                <w:spacing w:val="0"/>
                <w:sz w:val="24"/>
                <w:szCs w:val="24"/>
                <w:u w:val="none"/>
              </w:rPr>
            </w:pPr>
            <w: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t>文号</w:t>
            </w:r>
          </w:p>
        </w:tc>
      </w:tr>
      <w:tr w14:paraId="63A4D562">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9C95C5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5AAF487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省民政厅转发《内务部关于民兵在训练中发生伤亡的抚恤问题的通知》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1BD9C1A7">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民优字〔1962〕第073号</w:t>
            </w:r>
          </w:p>
        </w:tc>
      </w:tr>
      <w:tr w14:paraId="2D7954B5">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2BFD74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35F4432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省民政厅、卫生厅《关于革命烈士家属革命军人家属诊治疾病优待问题的联合通知》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4F64D41C">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民财字〔1963〕第007号</w:t>
            </w:r>
          </w:p>
          <w:p w14:paraId="48DCAE40">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卫财字〔1963〕第252号</w:t>
            </w:r>
          </w:p>
        </w:tc>
      </w:tr>
      <w:tr w14:paraId="7F1BDFCB">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5557B46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3E1C66B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省民政厅《关于在军事院校的学员家属享受军属待遇的更正通知》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1F77A757">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湘民优字〔1982〕第061号</w:t>
            </w:r>
          </w:p>
        </w:tc>
      </w:tr>
      <w:tr w14:paraId="298BFC56">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AF57F7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3E4C99F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省民政厅、财政厅《关于调整部分孤老优抚对象定期定量补助标准的通知》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0236C37C">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湘民优字〔1983〕第077号</w:t>
            </w:r>
          </w:p>
        </w:tc>
      </w:tr>
      <w:tr w14:paraId="5F8C27AE">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3C3772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6CDE247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省民政厅《关于换发、补发烈士证明书工作中烈士过继子女处理意见的请示报告的批复》</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676689FA">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湘民优字〔1983〕第115号</w:t>
            </w:r>
          </w:p>
        </w:tc>
      </w:tr>
      <w:tr w14:paraId="693BEEDE">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16073D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1DA4C1E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省民政厅、财政厅《关于对烈属、因公牺牲与病故军人家属的定期定量补助改为定期抚恤金的通知》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2258A052">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湘民财字〔1985〕第17号</w:t>
            </w:r>
          </w:p>
        </w:tc>
      </w:tr>
      <w:tr w14:paraId="09982FDC">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339525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5C747C5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省民政厅、财政厅《关于转发民政部、财政部〈关于调整革命烈士一次抚恤金标准的通知〉的通知》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55EFD238">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湘民优字〔1985〕第092号</w:t>
            </w:r>
          </w:p>
        </w:tc>
      </w:tr>
      <w:tr w14:paraId="13C852C9">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2C1C673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10AC045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省民政厅、财政厅关于转发民政部、财政部《关于调整军人、机关工作人员、参战民兵民工因公牺牲、病故一次抚恤金标准的通知》的通知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198D9DDF">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湘民优字〔1986〕第021号</w:t>
            </w:r>
          </w:p>
        </w:tc>
      </w:tr>
      <w:tr w14:paraId="2E88AFCA">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718449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6153388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省民政厅《关于调整军人、机关工作人员、参战民兵民工因公牺性、病故一次抚恤金标准的通知》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71A82CBD">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湘民退字〔1986〕第007号</w:t>
            </w:r>
          </w:p>
        </w:tc>
      </w:tr>
      <w:tr w14:paraId="168DA046">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C524CA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10</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543D16C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省民政厅、财政厅《关于提高优抚、救济对象生活补助和救济标准的通知》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1E840751">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湘民财字〔1986〕第020号</w:t>
            </w:r>
          </w:p>
        </w:tc>
      </w:tr>
      <w:tr w14:paraId="5B588CB1">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1C64CD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697FB74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省财政厅关于转发财政部《关于事业单位人员因公牺牲病故一次抚恤金标准的通知》的通知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40628047">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湘财行字〔1986〕第307号</w:t>
            </w:r>
          </w:p>
        </w:tc>
      </w:tr>
      <w:tr w14:paraId="1E35F6AD">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62CACBD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4EEB3B5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省民政厅、劳动人事厅、财政厅《关于调整特等、一等残废人员护理费标准的通知》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7D2C173B">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湘民优字〔1987〕第19号</w:t>
            </w:r>
          </w:p>
        </w:tc>
      </w:tr>
      <w:tr w14:paraId="629ECE2D">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564F74E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6D1217F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省民政厅、财政厅《关于转发民政部、财政部〈关于提高革命残废人员抚恤标准的通知〉的通知》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2636F84E">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湘民优字〔1988〕第17号</w:t>
            </w:r>
          </w:p>
        </w:tc>
      </w:tr>
      <w:tr w14:paraId="1D05A95D">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624BD6A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13416D8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省民政厅、财政厅、劳动厅、人事厅《关于解决六十年代精减退职老职工遗留问题的通知》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69FA5993">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湘民社字〔1988〕61号</w:t>
            </w:r>
          </w:p>
        </w:tc>
      </w:tr>
      <w:tr w14:paraId="18E1DBFD">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710E98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0C60C70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省民政厅、财政厅《关于调整部分优抚对象抚恤补助标准的通知》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5DF5D723">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湘民优字〔1989〕第17号</w:t>
            </w:r>
          </w:p>
        </w:tc>
      </w:tr>
      <w:tr w14:paraId="22350A72">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2E01355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0AEA72E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省民政厅《关于全省重点烈士纪念建筑物保护单位设置保护标志的通知》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19AF5A17">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湘民优字〔1990〕第17号</w:t>
            </w:r>
          </w:p>
        </w:tc>
      </w:tr>
      <w:tr w14:paraId="0EC1E97F">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CBD425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58A52AE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省民政厅《关于革命伤残人员办理评残和抚恤等有关问题的通知》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34D7487B">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湘民优字〔1990〕第24号</w:t>
            </w:r>
          </w:p>
        </w:tc>
      </w:tr>
      <w:tr w14:paraId="26EFAAD2">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DAC5D0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18</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54A8B4D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省民政厅《关于优先解决在乡复员军人的“三难”问题的通知》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0CE6E91C">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湘民优字〔1990〕第26号</w:t>
            </w:r>
          </w:p>
        </w:tc>
      </w:tr>
      <w:tr w14:paraId="10711297">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40132B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19</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7FAB394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省民政厅转发民政部办公厅《关于士兵从部队考入军校是否享受优待金问题的答复》的通知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4215DAF7">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湘民优函〔2000〕第4号</w:t>
            </w:r>
          </w:p>
        </w:tc>
      </w:tr>
      <w:tr w14:paraId="3320FC2F">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599037B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20</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1062104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省人事厅、劳动厅、财政厅《关于对企业退休军转干部发放生活困难补助的通知》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1C889E1C">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湘人发〔2004〕69号</w:t>
            </w:r>
          </w:p>
        </w:tc>
      </w:tr>
      <w:tr w14:paraId="3A1AFEC3">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50C4D0D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38253EE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省民政厅《关于做好原8023部队退役军人致残致病医学鉴定和评残补助工作的通知》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22906B34">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湘民优发〔2005〕7号</w:t>
            </w:r>
          </w:p>
        </w:tc>
      </w:tr>
      <w:tr w14:paraId="1CF40594">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5C1579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6C21865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省民政厅、劳动厅、人社厅、财政厅《关于对1953年12月31日前参军后在企业退休的军队退役士兵发放生活困难补助的通知》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1C362ED3">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湘民办发〔2007〕49号</w:t>
            </w:r>
          </w:p>
        </w:tc>
      </w:tr>
      <w:tr w14:paraId="2F35DDCB">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F0E40A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7816194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省民政厅、劳动厅、人社厅、财政厅《关于1953年12月31日前参军后在企业退休的军队退役士兵生活困难补助审批及发放工作有关事项的通知》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7F0D58E2">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湘民办发〔2007〕6号</w:t>
            </w:r>
          </w:p>
        </w:tc>
      </w:tr>
      <w:tr w14:paraId="41679E03">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1085865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6DC85E4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省民政厅《关于做好抗冰救灾中负伤致残的公安干警和国家机关公务员评残工作的通知》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28C051DA">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湘民办发〔2008〕22号</w:t>
            </w:r>
          </w:p>
        </w:tc>
      </w:tr>
      <w:tr w14:paraId="3C9839B2">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617E03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1FEC747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省民政厅《关于调整部分优抚对象等人员抚恤和生活补助标准的通知》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18FED03F">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湘民办发〔2009〕74号</w:t>
            </w:r>
          </w:p>
        </w:tc>
      </w:tr>
      <w:tr w14:paraId="5CA1B70F">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B4FF13C">
            <w:pPr>
              <w:keepNext w:val="0"/>
              <w:keepLines w:val="0"/>
              <w:pageBreakBefore w:val="0"/>
              <w:widowControl/>
              <w:suppressLineNumbers w:val="0"/>
              <w:kinsoku/>
              <w:wordWrap/>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22901CE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省民政厅下发《湖南省伤残抚恤管理办法实施细则》</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2E430DD1">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湘民办发〔2009〕57号</w:t>
            </w:r>
          </w:p>
        </w:tc>
      </w:tr>
      <w:tr w14:paraId="4D592C8C">
        <w:trPr>
          <w:trHeight w:val="539" w:hRule="atLeast"/>
          <w:jc w:val="center"/>
        </w:trPr>
        <w:tc>
          <w:tcPr>
            <w:tcW w:w="248" w:type="pct"/>
            <w:tcBorders>
              <w:top w:val="single" w:color="000000" w:sz="4" w:space="0"/>
              <w:left w:val="single" w:color="000000" w:sz="4" w:space="0"/>
              <w:right w:val="single" w:color="000000" w:sz="4" w:space="0"/>
            </w:tcBorders>
            <w:noWrap w:val="0"/>
            <w:vAlign w:val="center"/>
          </w:tcPr>
          <w:p w14:paraId="22E18B0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39CDF2E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省民政厅《关于带病回乡退伍军人认定和定期补助有关问题的通知》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77360DAE">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湘民办发〔2010〕1号</w:t>
            </w:r>
          </w:p>
        </w:tc>
      </w:tr>
      <w:tr w14:paraId="72DDA875">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A35C1F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28</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034BDE3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省民政厅、人社厅、财政厅《关于对1953年12月31日前参军后在企业退休的军队退役士兵发放生活困难补助的通知》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4BE707C0">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湘民办发〔2010〕47号</w:t>
            </w:r>
          </w:p>
        </w:tc>
      </w:tr>
      <w:tr w14:paraId="12B8181A">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2800089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29</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57AF766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省民政厅、财政厅《关于调整部分优抚对象等人员抚恤和生活补助标准的通知》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09979ADE">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湘民办发〔2010〕64号</w:t>
            </w:r>
          </w:p>
        </w:tc>
      </w:tr>
      <w:tr w14:paraId="76BCB1D3">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54FAD9B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30</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7BDA868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省民政厅、财政厅关于转发《民政部、财政部关于加强零散烈士纪念设施建设管理保护工作的通知》的通知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50DC84B5">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湘民办发〔2011〕27号</w:t>
            </w:r>
          </w:p>
        </w:tc>
      </w:tr>
      <w:tr w14:paraId="22700CEE">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6FE9B1F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6F9027B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省民政厅关于印发《全省零散烈士纪念设施建设管理保护工作实施方案》的通知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344F1FFF">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湘民办发〔2011〕38号</w:t>
            </w:r>
          </w:p>
        </w:tc>
      </w:tr>
      <w:tr w14:paraId="5B56C850">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1039502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420A45E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省民政厅、财政厅关于转发民政部、财政部《关于给部分农村籍退役士兵发放老年生活补助的通知》的通知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79DDF7EF">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湘民办发〔2011〕52号</w:t>
            </w:r>
          </w:p>
        </w:tc>
      </w:tr>
      <w:tr w14:paraId="1D244BAA">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6BB92E6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7A7A511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省民政厅《关于我省接收安置军队离退休干部（退休士官）有关问题的通知》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77D66DF6">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湘民办发〔2011〕69号</w:t>
            </w:r>
          </w:p>
        </w:tc>
      </w:tr>
      <w:tr w14:paraId="3F942301">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1345A7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6889C0E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省民政厅关于转发《民政部关于印发〈带病回乡常见慢性病范围（试行）〉的通知》的通知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1DB14811">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湘民函〔2012〕1号</w:t>
            </w:r>
          </w:p>
        </w:tc>
      </w:tr>
      <w:tr w14:paraId="3C7D0B7B">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B94E78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0441DD8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省民政厅、人社厅、财政厅关于转发民政部人力资源和社会保障部、财政部《关于国家机关工作人员及离退休人员死亡一次性抚恤金发放有关问题的通知》的通知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163D0954">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湘民发〔2012〕1号</w:t>
            </w:r>
          </w:p>
        </w:tc>
      </w:tr>
      <w:tr w14:paraId="342FB794">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20C1478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7CDD839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省财政厅、民政厅《关于下达农村籍退役士兵老年生活补助资金的通知》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1E9B37F6">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湘财社指〔2012〕3号</w:t>
            </w:r>
          </w:p>
        </w:tc>
      </w:tr>
      <w:tr w14:paraId="5CFED866">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1DF0D9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2B9074E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省民政厅、财政厅关于转发《民政部、财政部关于给部分烈士子女发放定期生活补助的通知》的通知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701C2780">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湘民发〔2012〕5号</w:t>
            </w:r>
          </w:p>
        </w:tc>
      </w:tr>
      <w:tr w14:paraId="20EB88D2">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50AB0B0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38</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7BDC852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省民政厅、人社厅、卫生厅关于转发民政部、人力资源和社会保障部、卫生部、总后勤部《关于印发〈军人残疾等级评定标准〉的通知》的通知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585BAF4A">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湘民发〔2012〕12号</w:t>
            </w:r>
          </w:p>
        </w:tc>
      </w:tr>
      <w:tr w14:paraId="43AC6CD8">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67F16E9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39</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0791BDD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省民政厅、人社厅、财政厅《关于对1953年12月31日前参军后在企业退休的军队退役士兵发放生活困难补助的通知》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7A1163AC">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湘民发〔2012〕28号</w:t>
            </w:r>
          </w:p>
        </w:tc>
      </w:tr>
      <w:tr w14:paraId="6B116071">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7EECD8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40</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2BD310F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省民政厅、财政厅《关于建立优抚医院医疗巡诊制度的通知》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62177592">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湘民发〔2012〕39号</w:t>
            </w:r>
          </w:p>
        </w:tc>
      </w:tr>
      <w:tr w14:paraId="415AD949">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2361DCE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6D6BF6D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省民政厅关于转发民政部办公厅等五部门《关于印发伤病残士兵退役交接安置工作规程（试行）的通知》的通知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27AB1E84">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湘民函〔2012〕122号</w:t>
            </w:r>
          </w:p>
        </w:tc>
      </w:tr>
      <w:tr w14:paraId="320DAA0B">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5851AFD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23ADB18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省财政厅、人社厅、民政厅《关于在就业专项资金中列支部分退役士兵教育培训资金有关问题的通知》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57B36ED7">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湘财社〔2013〕11号</w:t>
            </w:r>
          </w:p>
        </w:tc>
      </w:tr>
      <w:tr w14:paraId="1EEF96B1">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13FB376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72C957B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省民政厅《关于残疾军人配置康复辅助器具的实施办法》</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0AFB8AEC">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湘民发〔2013〕17号</w:t>
            </w:r>
          </w:p>
        </w:tc>
      </w:tr>
      <w:tr w14:paraId="3CD09F3A">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130879C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09E21F0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省民政厅《关于开展“退役军人之家”示范点建设的通知》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6643AC05">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湘民函〔2014〕36号</w:t>
            </w:r>
          </w:p>
        </w:tc>
      </w:tr>
      <w:tr w14:paraId="2210B4ED">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5B93975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4550488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省民政厅、人社厅、财政厅《关于对1953年12月31日前参军后在企业退休的军队退役士兵发放生活困难补助的通知》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301A3097">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湘民发〔2014〕37号</w:t>
            </w:r>
          </w:p>
        </w:tc>
      </w:tr>
      <w:tr w14:paraId="1FFF059A">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1288684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39D4C11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省民政厅、财政厅、军区司令部、军区政治部关于转发民政部、财政部、总参谋部、总政治部《关于印发执行多样化军事任务民兵预备役人员抚恤优待办法的通知》的通知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2353AF93">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湘民发〔2014〕53号</w:t>
            </w:r>
          </w:p>
        </w:tc>
      </w:tr>
      <w:tr w14:paraId="4236F17D">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8B90F2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eastAsia="zh-CN"/>
              </w:rPr>
            </w:pPr>
            <w:r>
              <w:rPr>
                <w:rFonts w:hint="eastAsia" w:ascii="Times New Roman" w:hAnsi="Times New Roman" w:eastAsia="方正仿宋_GBK" w:cs="方正仿宋_GBK"/>
                <w:b w:val="0"/>
                <w:bCs w:val="0"/>
                <w:i w:val="0"/>
                <w:iCs w:val="0"/>
                <w:color w:val="000000"/>
                <w:spacing w:val="0"/>
                <w:sz w:val="24"/>
                <w:szCs w:val="24"/>
                <w:u w:val="none"/>
                <w:lang w:val="en-US" w:eastAsia="zh-CN"/>
              </w:rPr>
              <w:t>47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4256F3F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省民政厅关于转发《民政部关于印发国家级烈士纪念设施保护单位服务管理指引的通知》的通知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2067A520">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湘民函〔2014〕77号</w:t>
            </w:r>
          </w:p>
        </w:tc>
      </w:tr>
      <w:tr w14:paraId="669CD5EA">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1EF4B23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48</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47CC8AC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省安置工作领导小组、人社厅《关于预留行政和参公编制安排军转干部的通知》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32249D5C">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湘人社函〔2016〕65号</w:t>
            </w:r>
          </w:p>
        </w:tc>
      </w:tr>
      <w:tr w14:paraId="6FD84143">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9B10AB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49</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2A44E12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省退役厅、省委组织部、省委纪委、教育厅、公安厅、民政厅、财政厅、人社厅、国资委、税务局、扶贫办、军区政治工作局关于印发《湖南省促进新时代退役军人就业创业工作实施细则》的通知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799213E5">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湘退役军人发〔2019〕45号</w:t>
            </w:r>
          </w:p>
        </w:tc>
      </w:tr>
      <w:tr w14:paraId="58424B0B">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EB1D0C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50</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255DCF9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省财政厅、退役厅、人社厅、医保局、民政厅、税务局《关于解决部分退役士兵社会保险问题财政补助资金有关事项的通知》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4FD3AF22">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湘财社〔2020〕14号</w:t>
            </w:r>
          </w:p>
        </w:tc>
      </w:tr>
      <w:tr w14:paraId="3226455A">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6E985F1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0E0407A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省退役厅关于印发《湖南省退役军人事务厅常态化联系退役军人工作实施方案》的通知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20BCE992">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湘退役军人发〔2020〕23号</w:t>
            </w:r>
          </w:p>
        </w:tc>
      </w:tr>
      <w:tr w14:paraId="33764F89">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C28866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3E090A6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省退役厅《关于加强重点优抚对象短期疗养和医疗巡诊工作的通知》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484D66CB">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湘退役军人发〔2020﹞33号</w:t>
            </w:r>
          </w:p>
        </w:tc>
      </w:tr>
      <w:tr w14:paraId="01C9BC57">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9B9C0A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1517E31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省退役厅、安置工作领导小组关于印发《湖南省省直单位军队转业干部考核考试安置办法（修订）》的通知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3A4A08FF">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湘退役军人发〔2020〕44号</w:t>
            </w:r>
          </w:p>
        </w:tc>
      </w:tr>
      <w:tr w14:paraId="10917894">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2D29B15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1D3F589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省退役厅、安置工作领导小组、省委组织部、教育厅、财政厅、军区政治工作局关于印发《湖南省关于开展军队转业干部进高等学校专项培训的实施办法（修订）》的通知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5AD46C46">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湘退役军人发〔2020〕45号</w:t>
            </w:r>
          </w:p>
        </w:tc>
      </w:tr>
      <w:tr w14:paraId="5EAA2B34">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795BCD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7F68F93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省退役厅关于印发《关于规范市县两级退役军人事务局财务管理工作的指导意见》的通知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726B0917">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湘退役军人发〔2020〕61号</w:t>
            </w:r>
          </w:p>
        </w:tc>
      </w:tr>
      <w:tr w14:paraId="1624B8B5">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2792D8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1740759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省财政厅、退役厅关于印发《湖南省自主就业退役士兵职业教育和技能培训资金使用管理办法》的通知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32995CCB">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湘财社〔2021〕25号</w:t>
            </w:r>
          </w:p>
        </w:tc>
      </w:tr>
      <w:tr w14:paraId="001183FC">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60F4635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62BEEF2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省退役厅、省人民政府征兵办公室《关于进一步规范光荣牌悬挂工作的通知》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7B7BC312">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湘退役军人发〔2021﹞30号</w:t>
            </w:r>
          </w:p>
        </w:tc>
      </w:tr>
      <w:tr w14:paraId="0C102F95">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FD7572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58</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4797BEB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省退役厅《关于进一步做好县级以下英雄烈士纪念设施整修工作的通知》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607A3C26">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湘退役军人函〔2021〕49号</w:t>
            </w:r>
          </w:p>
        </w:tc>
      </w:tr>
      <w:tr w14:paraId="52507B02">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37746D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59</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615E56B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省退役厅、军区政工局、双拥办《关于开展“为边海防官兵送温暖”拥军优属工作暂行办法》</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57DB5068">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湘退役军人发〔2021﹞57号</w:t>
            </w:r>
          </w:p>
        </w:tc>
      </w:tr>
      <w:tr w14:paraId="560772B0">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91150F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60</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7B13222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省退役厅、民政厅、财政厅、卫健委、军区政治工作局、军区保障局《关于进一步提升移交政府安置的军队离休退休干部服务管理水平的通知》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28F87341">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湘退役军人发〔2021〕59号</w:t>
            </w:r>
          </w:p>
        </w:tc>
      </w:tr>
      <w:tr w14:paraId="2CA9CD7E">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6400C8A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14EFAA3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省退役厅《关于进一步规范办文办事有关工作的通知》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69FF8DB4">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湘退役军人办发〔2022〕6号</w:t>
            </w:r>
          </w:p>
        </w:tc>
      </w:tr>
      <w:tr w14:paraId="3C25AA6C">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FEBCDC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188ACEF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省退役厅、财政厅、中国人民银行、长沙中心支行、中国银监局《关于做好退役军人、其它优抚对象优待证制发工作的通知》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770E1DE9">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湘退役军人发〔2022﹞23号</w:t>
            </w:r>
          </w:p>
        </w:tc>
      </w:tr>
      <w:tr w14:paraId="74DC2545">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25BB424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78B675F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省退役厅、省委宣传部、民政厅、财政局、人社厅、住建厅、医保局《关于进一步做好烈士父母关爱工作的通知》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0D0A7F17">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湘退役军人发〔2022〕33号</w:t>
            </w:r>
          </w:p>
        </w:tc>
      </w:tr>
      <w:tr w14:paraId="052E0772">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75F845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6D90B92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省退役厅《湖南省军休服务管理机构星级评定管理办法（试行）》</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53A61C07">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湘退役军人发〔2022〕43号</w:t>
            </w:r>
          </w:p>
        </w:tc>
      </w:tr>
      <w:tr w14:paraId="0395B9FA">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4AF803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057019D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省退役厅关于印发《湖南省退役军人事务厅走访慰问暂行办法》的通知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253C0D00">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湘退役军人发〔2022﹞44号</w:t>
            </w:r>
          </w:p>
        </w:tc>
      </w:tr>
      <w:tr w14:paraId="198FCBC3">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7EE313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06E10EE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省退役厅等21部门关于印发关于印发《湖南省关于进一步促进退役军人就业创业的政策措施》的通知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14CEA40F">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湘退役军人发〔2022〕62号</w:t>
            </w:r>
          </w:p>
        </w:tc>
      </w:tr>
      <w:tr w14:paraId="6B6D04E7">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2E012EF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2DE51D3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省退役厅等24部门关于印发《湖南省加强军人军属、退役军人和其他优抚对象优待工作的实施意见》的通知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1DF3BCC3">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湘退役军人发〔2022〕64号</w:t>
            </w:r>
          </w:p>
        </w:tc>
      </w:tr>
      <w:tr w14:paraId="1E249816">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38190C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SA"/>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68</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02007E2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SA"/>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省退役厅关于印发《湖南省退役军人就业创业导师管理办法（试行）》的通知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6B38E01E">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SA"/>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湘退役军人发〔2022〕75号</w:t>
            </w:r>
          </w:p>
        </w:tc>
      </w:tr>
      <w:tr w14:paraId="3F73A565">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DD20D1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69</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4CEEB12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省教育厅、省军区政工局、省双拥办《关于进一步做好军人子女教育优待工作的通知》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571E8DE0">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政〔2022﹞361号</w:t>
            </w:r>
          </w:p>
        </w:tc>
      </w:tr>
      <w:tr w14:paraId="20D5CEA0">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2A04528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70</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29EBD70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省委组织部、人社厅、退役厅、军区政工局、双拥办关于印发《湖南省军人随军家属就业安置实施办法（试行）》的通知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213D6C2E">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政联〔2023﹞2号</w:t>
            </w:r>
          </w:p>
        </w:tc>
      </w:tr>
      <w:tr w14:paraId="75802FE2">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29F2EE8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51A65D8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省财政厅、税务局、退役厅、人社厅、乡村振兴局《关于进一步扶持我省自主就业退役士兵和重点群体创业就业有关税收政策的公告》</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60F92C48">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2023年第6号</w:t>
            </w:r>
          </w:p>
        </w:tc>
      </w:tr>
      <w:tr w14:paraId="2ADA059A">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A0EF42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32ADAE2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省退役厅《关于加强信息直报工作的通知》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04B3769E">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湘退役军人办发〔2023〕6号</w:t>
            </w:r>
          </w:p>
        </w:tc>
      </w:tr>
      <w:tr w14:paraId="757FB92E">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6A192F2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63214D1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省退役厅《关于开展退役军人就业创业导师“六个一”活动的通知》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06B9747B">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湘退役军人发〔2023〕9号</w:t>
            </w:r>
          </w:p>
        </w:tc>
      </w:tr>
      <w:tr w14:paraId="455E08F1">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1F4FC5D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1555BC5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省退役厅关于印发《湖南省退役军人就业创业示范基地（企业）管理办法（试行）》的通知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337F521F">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湘退役军人发〔2023〕25号</w:t>
            </w:r>
          </w:p>
        </w:tc>
      </w:tr>
      <w:tr w14:paraId="1BF9E981">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5E69AA4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3306C5C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省退役厅关于印发《湖南省退役军人事务厅官方网站与政务新媒体管理办法》的通知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76CD42E8">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湘退役军人发〔2023〕30号</w:t>
            </w:r>
          </w:p>
        </w:tc>
      </w:tr>
      <w:tr w14:paraId="4C45E6F6">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15C08EF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6F579B3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省退役厅《关于进一步加强自主就业退役士兵职业技能培训工作的通知》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0CB0AC1C">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湘退役军人发〔2023〕32号</w:t>
            </w:r>
          </w:p>
        </w:tc>
      </w:tr>
      <w:tr w14:paraId="54D060AD">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BB6D30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195C74F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省退役厅、教育厅、财政厅、人社厅关于印发《关于促进优秀退役军人到中小学任教的实施意见》的通知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591B5840">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湘退役军人发〔2023〕41号</w:t>
            </w:r>
          </w:p>
        </w:tc>
      </w:tr>
      <w:tr w14:paraId="3E791FB4">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F70F4D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78</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31D2BFC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省退役厅关于印发《2023-2025年湖南省自主就业退役士兵职业技能培训机构名单及承训项目目录》的通知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507A20B8">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湘退役军人发〔2023〕51号</w:t>
            </w:r>
          </w:p>
        </w:tc>
      </w:tr>
      <w:tr w14:paraId="20A49380">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1A65F8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79</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2DABDA8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省社会保险服务中心关于印发《湖南省退役军人企业养老保险关系转移接续经办规定》的通知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01DBA59E">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湘社险函〔2024〕13号</w:t>
            </w:r>
          </w:p>
        </w:tc>
      </w:tr>
      <w:tr w14:paraId="6AE51F16">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A57989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80</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168BD49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省退役厅关于印发《湖南省军休业务数据管理工作暂行规定》的通知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354A7A51">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湘退役军人发〔2024〕41号</w:t>
            </w:r>
          </w:p>
        </w:tc>
      </w:tr>
      <w:tr w14:paraId="05EF3D14">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5AB2A95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714CED3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省退役厅关于印发《湖南省优抚事业单位专项补助管理实施细则（暂行）》的通知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0EA47B4A">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湘退役军人发〔2024〕45号</w:t>
            </w:r>
          </w:p>
        </w:tc>
      </w:tr>
      <w:tr w14:paraId="2D36A844">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CE0FD3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237AA12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省退役厅《关于进一步规范退役安置补助经费使用管理的通知》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1A4A3EE0">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湘退役军人发〔2024〕52号</w:t>
            </w:r>
          </w:p>
        </w:tc>
      </w:tr>
      <w:tr w14:paraId="20138453">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AC3DAA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458E892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省双拥领导小组关于印发《湖南省双拥工作领导小组工作规则》《湖南省双拥工作领导小组办公室职责和工作制度》和《湖南省双拥工作领导小组成员单位工作职责》的通知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726C2684">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湘拥〔2025﹞1号</w:t>
            </w:r>
          </w:p>
        </w:tc>
      </w:tr>
      <w:tr w14:paraId="2827B2BE">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62E222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SA"/>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75534EE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SA"/>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省退役厅、人社厅《关于做好企业退休军转干部生活困难补助审批有关事项的通知》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5FB15FDC">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SA"/>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湘退役军人发〔2025〕18号</w:t>
            </w:r>
          </w:p>
        </w:tc>
      </w:tr>
      <w:tr w14:paraId="07D5B387">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A989CB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463B6F3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省退役厅关于印发《湖南省退役军人事务系统免予行政处罚事项清单》的通知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1F14DDF6">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湘退役军人发〔2025〕28号</w:t>
            </w:r>
          </w:p>
        </w:tc>
      </w:tr>
      <w:tr w14:paraId="24A9F91A">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ACE50E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61CD161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省退役厅关于修订《湖南省退役军人事务系统行政处罚裁量权基准》的通知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2880170C">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湘退役军人发〔2025〕27号</w:t>
            </w:r>
          </w:p>
        </w:tc>
      </w:tr>
      <w:tr w14:paraId="5BBBE7ED">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5D4DEFA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14:paraId="6088338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省退役厅关于印发《湖南省烈士纪念设施保护管理办法》的通知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14:paraId="73AE6224">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湘退役军人发〔2024〕51号</w:t>
            </w:r>
          </w:p>
        </w:tc>
      </w:tr>
    </w:tbl>
    <w:p w14:paraId="19A9425A">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altName w:val="方正小标宋_GBK"/>
    <w:panose1 w:val="02000000000000000000"/>
    <w:charset w:val="86"/>
    <w:family w:val="script"/>
    <w:pitch w:val="default"/>
    <w:sig w:usb0="00000000" w:usb1="00000000" w:usb2="00000012" w:usb3="00000000" w:csb0="00040001" w:csb1="00000000"/>
  </w:font>
  <w:font w:name="方正黑体_GBK">
    <w:altName w:val="汉仪中黑KW"/>
    <w:panose1 w:val="02000000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77FAC"/>
    <w:rsid w:val="27E77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方正小标宋简体" w:eastAsia="方正小标宋简体" w:hAnsiTheme="minorHAnsi" w:cstheme="minorBidi"/>
      <w:kern w:val="2"/>
      <w:sz w:val="44"/>
      <w:szCs w:val="36"/>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Body Text First Indent 2"/>
    <w:basedOn w:val="1"/>
    <w:qFormat/>
    <w:uiPriority w:val="0"/>
    <w:pPr>
      <w:spacing w:before="100" w:beforeAutospacing="1"/>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2025-12-05T15:29:00Z</dcterms:created>
  <dc:creator>PH</dc:creator>
  <cp:lastModifiedBy>PH</cp:lastModifiedBy>
  <dcterms:modified xsi:type="dcterms:W3CDTF">2025-12-05T15:29:29Z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20F3613E1F5A1FA9C5893269B9B1F47E_41</vt:lpwstr>
  </property>
</Properties>
</file>